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00" w:rsidRPr="0085349A" w:rsidRDefault="00CD5CAE" w:rsidP="00890E00">
      <w:pPr>
        <w:rPr>
          <w:lang w:val="en-US"/>
        </w:rPr>
      </w:pPr>
      <w:bookmarkStart w:id="0" w:name="_GoBack"/>
      <w:bookmarkEnd w:id="0"/>
      <w:r w:rsidRPr="00CD5CAE">
        <w:rPr>
          <w:b/>
          <w:sz w:val="32"/>
          <w:lang w:val="en"/>
        </w:rPr>
        <w:t>Critical perspectives on health and disease</w:t>
      </w:r>
      <w:r w:rsidR="0018656F">
        <w:rPr>
          <w:b/>
          <w:sz w:val="32"/>
          <w:lang w:val="en"/>
        </w:rPr>
        <w:t xml:space="preserve">       </w:t>
      </w:r>
      <w:r w:rsidR="00890E00" w:rsidRPr="0018656F">
        <w:rPr>
          <w:b/>
          <w:lang w:val="en-US"/>
        </w:rPr>
        <w:t>MF9185</w:t>
      </w:r>
      <w:r w:rsidR="0018656F">
        <w:rPr>
          <w:lang w:val="en-US"/>
        </w:rPr>
        <w:t xml:space="preserve"> (</w:t>
      </w:r>
      <w:r w:rsidR="0018656F" w:rsidRPr="0018656F">
        <w:rPr>
          <w:lang w:val="en-US"/>
        </w:rPr>
        <w:t>MEDFL5185</w:t>
      </w:r>
      <w:r w:rsidR="0018656F">
        <w:rPr>
          <w:lang w:val="en-US"/>
        </w:rPr>
        <w:t>)</w:t>
      </w:r>
    </w:p>
    <w:p w:rsidR="00CD5CAE" w:rsidRDefault="00CD5CAE" w:rsidP="00CD5CAE">
      <w:pPr>
        <w:pStyle w:val="Heading1"/>
        <w:rPr>
          <w:lang w:val="en-US" w:eastAsia="nb-NO"/>
        </w:rPr>
      </w:pPr>
      <w:r>
        <w:rPr>
          <w:lang w:val="en-US" w:eastAsia="nb-NO"/>
        </w:rPr>
        <w:t xml:space="preserve">Course description </w:t>
      </w:r>
    </w:p>
    <w:p w:rsidR="00CD5CAE" w:rsidRPr="00CD5CAE" w:rsidRDefault="00CD5CAE" w:rsidP="00E22234">
      <w:pPr>
        <w:spacing w:after="0"/>
        <w:rPr>
          <w:lang w:val="en-US" w:eastAsia="nb-NO"/>
        </w:rPr>
      </w:pPr>
      <w:r w:rsidRPr="00CD5CAE">
        <w:rPr>
          <w:lang w:val="en-US" w:eastAsia="nb-NO"/>
        </w:rPr>
        <w:t xml:space="preserve">Most researchers in the medical and health sciences focus on health and disease, either directly or indirectly. But what do these basic concepts mean and what do they entail?  Arguing that there is hardly a single answer to these questions, this course explores a variety of theories and perspectives on health, disease, sickness, and suffering. Specifically, the course will critically examine the various ways in which human health and disease is understood and engaged with in medicine and health sciences. By applying perspectives from philosophy, history, sociology, and anthropology the course aims to make you able to view medical and health research in a broader perspective, to see your research questions in new light, and to add to your abilities to interpret and understand data. </w:t>
      </w:r>
    </w:p>
    <w:p w:rsidR="00CD5CAE" w:rsidRPr="00CD5CAE" w:rsidRDefault="00CD5CAE" w:rsidP="00E22234">
      <w:pPr>
        <w:spacing w:after="0"/>
        <w:rPr>
          <w:lang w:val="en-US" w:eastAsia="nb-NO"/>
        </w:rPr>
      </w:pPr>
      <w:r w:rsidRPr="00CD5CAE">
        <w:rPr>
          <w:lang w:val="en-US" w:eastAsia="nb-NO"/>
        </w:rPr>
        <w:t xml:space="preserve">The course will investigate concepts, theories, and models of health and disease. In particular it will scrutinize various perspectives, knowledge systems, classification systems, and metaphors. The course will also investigate health management and governance, and analyze the relationship between power, interests, and gender in health and disease. </w:t>
      </w:r>
    </w:p>
    <w:p w:rsidR="00100EE1" w:rsidRDefault="00CD5CAE" w:rsidP="00E22234">
      <w:pPr>
        <w:spacing w:after="0"/>
        <w:rPr>
          <w:lang w:val="en-US" w:eastAsia="nb-NO"/>
        </w:rPr>
      </w:pPr>
      <w:r w:rsidRPr="00CD5CAE">
        <w:rPr>
          <w:lang w:val="en-US" w:eastAsia="nb-NO"/>
        </w:rPr>
        <w:lastRenderedPageBreak/>
        <w:t>The course will use a combination of lectures, group work, video, and reflection notes in order to engage the participants in active reflection over basic concepts in health related research. It will actively use participants own research projects as examples.</w:t>
      </w:r>
    </w:p>
    <w:p w:rsidR="00E22234" w:rsidRDefault="00E22234" w:rsidP="00E22234">
      <w:pPr>
        <w:pStyle w:val="Heading1"/>
        <w:rPr>
          <w:lang w:val="en-US" w:eastAsia="nb-NO"/>
        </w:rPr>
      </w:pPr>
      <w:r w:rsidRPr="00E22234">
        <w:rPr>
          <w:lang w:val="en-US" w:eastAsia="nb-NO"/>
        </w:rPr>
        <w:t xml:space="preserve">Learning outcome </w:t>
      </w:r>
    </w:p>
    <w:p w:rsidR="00E22234" w:rsidRPr="00E22234" w:rsidRDefault="00E22234" w:rsidP="00E22234">
      <w:pPr>
        <w:spacing w:after="0"/>
        <w:rPr>
          <w:b/>
          <w:sz w:val="20"/>
          <w:szCs w:val="20"/>
          <w:lang w:val="en-US" w:eastAsia="nb-NO"/>
        </w:rPr>
      </w:pPr>
      <w:r w:rsidRPr="00E22234">
        <w:rPr>
          <w:b/>
          <w:sz w:val="20"/>
          <w:szCs w:val="20"/>
          <w:lang w:val="en-US" w:eastAsia="nb-NO"/>
        </w:rPr>
        <w:t>Knowledge</w:t>
      </w:r>
    </w:p>
    <w:p w:rsidR="00E22234" w:rsidRPr="00E22234" w:rsidRDefault="00E22234" w:rsidP="00E22234">
      <w:pPr>
        <w:spacing w:after="0"/>
        <w:rPr>
          <w:sz w:val="20"/>
          <w:szCs w:val="20"/>
          <w:lang w:val="en-US" w:eastAsia="nb-NO"/>
        </w:rPr>
      </w:pPr>
      <w:r w:rsidRPr="00E22234">
        <w:rPr>
          <w:sz w:val="20"/>
          <w:szCs w:val="20"/>
          <w:lang w:val="en-US" w:eastAsia="nb-NO"/>
        </w:rPr>
        <w:t>This course will give you knowledge about</w:t>
      </w:r>
    </w:p>
    <w:p w:rsidR="00E22234" w:rsidRPr="00E22234" w:rsidRDefault="00E22234" w:rsidP="00E22234">
      <w:pPr>
        <w:pStyle w:val="ListParagraph"/>
        <w:numPr>
          <w:ilvl w:val="0"/>
          <w:numId w:val="1"/>
        </w:numPr>
        <w:spacing w:after="0"/>
        <w:rPr>
          <w:sz w:val="20"/>
          <w:szCs w:val="20"/>
          <w:lang w:val="en-US" w:eastAsia="nb-NO"/>
        </w:rPr>
      </w:pPr>
      <w:r w:rsidRPr="00E22234">
        <w:rPr>
          <w:rFonts w:hint="eastAsia"/>
          <w:sz w:val="20"/>
          <w:szCs w:val="20"/>
          <w:lang w:val="en-US" w:eastAsia="nb-NO"/>
        </w:rPr>
        <w:t>various conceptions, definitions and explanations of health and disease</w:t>
      </w:r>
    </w:p>
    <w:p w:rsidR="00E22234" w:rsidRPr="00E22234" w:rsidRDefault="00E22234" w:rsidP="00E22234">
      <w:pPr>
        <w:pStyle w:val="ListParagraph"/>
        <w:numPr>
          <w:ilvl w:val="0"/>
          <w:numId w:val="1"/>
        </w:numPr>
        <w:spacing w:after="0"/>
        <w:rPr>
          <w:sz w:val="20"/>
          <w:szCs w:val="20"/>
          <w:lang w:val="en-US" w:eastAsia="nb-NO"/>
        </w:rPr>
      </w:pPr>
      <w:r w:rsidRPr="00E22234">
        <w:rPr>
          <w:rFonts w:hint="eastAsia"/>
          <w:sz w:val="20"/>
          <w:szCs w:val="20"/>
          <w:lang w:val="en-US" w:eastAsia="nb-NO"/>
        </w:rPr>
        <w:t>historical perspectives on health and disease</w:t>
      </w:r>
    </w:p>
    <w:p w:rsidR="00E22234" w:rsidRPr="00E22234" w:rsidRDefault="00E22234" w:rsidP="00E22234">
      <w:pPr>
        <w:pStyle w:val="ListParagraph"/>
        <w:numPr>
          <w:ilvl w:val="0"/>
          <w:numId w:val="1"/>
        </w:numPr>
        <w:spacing w:after="0"/>
        <w:rPr>
          <w:sz w:val="20"/>
          <w:szCs w:val="20"/>
          <w:lang w:val="en-US" w:eastAsia="nb-NO"/>
        </w:rPr>
      </w:pPr>
      <w:r w:rsidRPr="00E22234">
        <w:rPr>
          <w:rFonts w:hint="eastAsia"/>
          <w:sz w:val="20"/>
          <w:szCs w:val="20"/>
          <w:lang w:val="en-US" w:eastAsia="nb-NO"/>
        </w:rPr>
        <w:t>power and knowledge related to health and disease</w:t>
      </w:r>
    </w:p>
    <w:p w:rsidR="00E22234" w:rsidRPr="00E22234" w:rsidRDefault="00E22234" w:rsidP="00E22234">
      <w:pPr>
        <w:pStyle w:val="ListParagraph"/>
        <w:numPr>
          <w:ilvl w:val="0"/>
          <w:numId w:val="1"/>
        </w:numPr>
        <w:spacing w:after="0"/>
        <w:rPr>
          <w:sz w:val="20"/>
          <w:szCs w:val="20"/>
          <w:lang w:val="en-US" w:eastAsia="nb-NO"/>
        </w:rPr>
      </w:pPr>
      <w:r w:rsidRPr="00E22234">
        <w:rPr>
          <w:rFonts w:hint="eastAsia"/>
          <w:sz w:val="20"/>
          <w:szCs w:val="20"/>
          <w:lang w:val="en-US" w:eastAsia="nb-NO"/>
        </w:rPr>
        <w:t>issues of equity and justice related to health and disease</w:t>
      </w:r>
    </w:p>
    <w:p w:rsidR="00E22234" w:rsidRPr="00E22234" w:rsidRDefault="00E22234" w:rsidP="00E22234">
      <w:pPr>
        <w:pStyle w:val="ListParagraph"/>
        <w:numPr>
          <w:ilvl w:val="0"/>
          <w:numId w:val="1"/>
        </w:numPr>
        <w:spacing w:after="0"/>
        <w:rPr>
          <w:sz w:val="20"/>
          <w:szCs w:val="20"/>
          <w:lang w:val="en-US" w:eastAsia="nb-NO"/>
        </w:rPr>
      </w:pPr>
      <w:r w:rsidRPr="00E22234">
        <w:rPr>
          <w:rFonts w:hint="eastAsia"/>
          <w:sz w:val="20"/>
          <w:szCs w:val="20"/>
          <w:lang w:val="en-US" w:eastAsia="nb-NO"/>
        </w:rPr>
        <w:t>critical perspectives on health governance</w:t>
      </w:r>
    </w:p>
    <w:p w:rsidR="00E22234" w:rsidRPr="00E22234" w:rsidRDefault="00E22234" w:rsidP="00E22234">
      <w:pPr>
        <w:pStyle w:val="ListParagraph"/>
        <w:numPr>
          <w:ilvl w:val="0"/>
          <w:numId w:val="1"/>
        </w:numPr>
        <w:spacing w:after="0"/>
        <w:rPr>
          <w:sz w:val="20"/>
          <w:szCs w:val="20"/>
          <w:lang w:val="en-US" w:eastAsia="nb-NO"/>
        </w:rPr>
      </w:pPr>
      <w:r w:rsidRPr="00E22234">
        <w:rPr>
          <w:rFonts w:hint="eastAsia"/>
          <w:sz w:val="20"/>
          <w:szCs w:val="20"/>
          <w:lang w:val="en-US" w:eastAsia="nb-NO"/>
        </w:rPr>
        <w:t>gendered perspectives on health and disease</w:t>
      </w:r>
    </w:p>
    <w:p w:rsidR="00E22234" w:rsidRPr="00E22234" w:rsidRDefault="00E22234" w:rsidP="00E22234">
      <w:pPr>
        <w:pStyle w:val="ListParagraph"/>
        <w:numPr>
          <w:ilvl w:val="0"/>
          <w:numId w:val="1"/>
        </w:numPr>
        <w:spacing w:after="0"/>
        <w:rPr>
          <w:sz w:val="20"/>
          <w:szCs w:val="20"/>
          <w:lang w:val="en-US" w:eastAsia="nb-NO"/>
        </w:rPr>
      </w:pPr>
      <w:r w:rsidRPr="00E22234">
        <w:rPr>
          <w:rFonts w:hint="eastAsia"/>
          <w:sz w:val="20"/>
          <w:szCs w:val="20"/>
          <w:lang w:val="en-US" w:eastAsia="nb-NO"/>
        </w:rPr>
        <w:t>minority perspectives on health and disease</w:t>
      </w:r>
    </w:p>
    <w:p w:rsidR="00E22234" w:rsidRPr="00E22234" w:rsidRDefault="00E22234" w:rsidP="00E22234">
      <w:pPr>
        <w:pStyle w:val="ListParagraph"/>
        <w:numPr>
          <w:ilvl w:val="0"/>
          <w:numId w:val="1"/>
        </w:numPr>
        <w:spacing w:after="0"/>
        <w:rPr>
          <w:sz w:val="20"/>
          <w:szCs w:val="20"/>
          <w:lang w:val="en-US" w:eastAsia="nb-NO"/>
        </w:rPr>
      </w:pPr>
      <w:r w:rsidRPr="00E22234">
        <w:rPr>
          <w:rFonts w:hint="eastAsia"/>
          <w:sz w:val="20"/>
          <w:szCs w:val="20"/>
          <w:lang w:val="en-US" w:eastAsia="nb-NO"/>
        </w:rPr>
        <w:t>critical perspectives on diagnoses and diagnostic systems</w:t>
      </w:r>
    </w:p>
    <w:p w:rsidR="00E22234" w:rsidRPr="00E22234" w:rsidRDefault="00E22234" w:rsidP="00E22234">
      <w:pPr>
        <w:pStyle w:val="ListParagraph"/>
        <w:numPr>
          <w:ilvl w:val="0"/>
          <w:numId w:val="1"/>
        </w:numPr>
        <w:spacing w:after="0"/>
        <w:rPr>
          <w:sz w:val="20"/>
          <w:szCs w:val="20"/>
          <w:lang w:val="en-US" w:eastAsia="nb-NO"/>
        </w:rPr>
      </w:pPr>
      <w:r w:rsidRPr="00E22234">
        <w:rPr>
          <w:rFonts w:hint="eastAsia"/>
          <w:sz w:val="20"/>
          <w:szCs w:val="20"/>
          <w:lang w:val="en-US" w:eastAsia="nb-NO"/>
        </w:rPr>
        <w:t>critical perspectives on evidence and clinical guidelines related to health and disease</w:t>
      </w:r>
    </w:p>
    <w:p w:rsidR="00E22234" w:rsidRPr="00E22234" w:rsidRDefault="00E22234" w:rsidP="00E22234">
      <w:pPr>
        <w:pStyle w:val="ListParagraph"/>
        <w:numPr>
          <w:ilvl w:val="0"/>
          <w:numId w:val="1"/>
        </w:numPr>
        <w:spacing w:after="0"/>
        <w:rPr>
          <w:sz w:val="20"/>
          <w:szCs w:val="20"/>
          <w:lang w:val="en-US" w:eastAsia="nb-NO"/>
        </w:rPr>
      </w:pPr>
      <w:r w:rsidRPr="00E22234">
        <w:rPr>
          <w:rFonts w:hint="eastAsia"/>
          <w:sz w:val="20"/>
          <w:szCs w:val="20"/>
          <w:lang w:val="en-US" w:eastAsia="nb-NO"/>
        </w:rPr>
        <w:t>anthropological and sociological perspectives on the body, health, and sickness</w:t>
      </w:r>
    </w:p>
    <w:p w:rsidR="00E22234" w:rsidRPr="00E22234" w:rsidRDefault="00E22234" w:rsidP="00E22234">
      <w:pPr>
        <w:spacing w:after="0"/>
        <w:rPr>
          <w:b/>
          <w:sz w:val="20"/>
          <w:szCs w:val="20"/>
          <w:lang w:val="en-US" w:eastAsia="nb-NO"/>
        </w:rPr>
      </w:pPr>
      <w:r w:rsidRPr="00E22234">
        <w:rPr>
          <w:b/>
          <w:sz w:val="20"/>
          <w:szCs w:val="20"/>
          <w:lang w:val="en-US" w:eastAsia="nb-NO"/>
        </w:rPr>
        <w:t>Skills</w:t>
      </w:r>
    </w:p>
    <w:p w:rsidR="00E22234" w:rsidRPr="00E22234" w:rsidRDefault="00E22234" w:rsidP="00E22234">
      <w:pPr>
        <w:spacing w:after="0"/>
        <w:rPr>
          <w:sz w:val="20"/>
          <w:szCs w:val="20"/>
          <w:lang w:val="en-US" w:eastAsia="nb-NO"/>
        </w:rPr>
      </w:pPr>
      <w:r w:rsidRPr="00E22234">
        <w:rPr>
          <w:sz w:val="20"/>
          <w:szCs w:val="20"/>
          <w:lang w:val="en-US" w:eastAsia="nb-NO"/>
        </w:rPr>
        <w:t>This course will give you skills to</w:t>
      </w:r>
    </w:p>
    <w:p w:rsidR="00E22234" w:rsidRPr="00E22234" w:rsidRDefault="00E22234" w:rsidP="00E22234">
      <w:pPr>
        <w:pStyle w:val="ListParagraph"/>
        <w:numPr>
          <w:ilvl w:val="0"/>
          <w:numId w:val="2"/>
        </w:numPr>
        <w:spacing w:after="0"/>
        <w:rPr>
          <w:sz w:val="20"/>
          <w:szCs w:val="20"/>
          <w:lang w:val="en-US" w:eastAsia="nb-NO"/>
        </w:rPr>
      </w:pPr>
      <w:r w:rsidRPr="00E22234">
        <w:rPr>
          <w:rFonts w:hint="eastAsia"/>
          <w:sz w:val="20"/>
          <w:szCs w:val="20"/>
          <w:lang w:val="en-US" w:eastAsia="nb-NO"/>
        </w:rPr>
        <w:t>identify and apply a range of perspectives in reflection on health and disease (and on basic concepts more generally)</w:t>
      </w:r>
    </w:p>
    <w:p w:rsidR="00E22234" w:rsidRPr="00E22234" w:rsidRDefault="00E22234" w:rsidP="00E22234">
      <w:pPr>
        <w:pStyle w:val="ListParagraph"/>
        <w:numPr>
          <w:ilvl w:val="0"/>
          <w:numId w:val="2"/>
        </w:numPr>
        <w:spacing w:after="0"/>
        <w:rPr>
          <w:sz w:val="20"/>
          <w:szCs w:val="20"/>
          <w:lang w:val="en-US" w:eastAsia="nb-NO"/>
        </w:rPr>
      </w:pPr>
      <w:r w:rsidRPr="00E22234">
        <w:rPr>
          <w:rFonts w:hint="eastAsia"/>
          <w:sz w:val="20"/>
          <w:szCs w:val="20"/>
          <w:lang w:val="en-US" w:eastAsia="nb-NO"/>
        </w:rPr>
        <w:lastRenderedPageBreak/>
        <w:t>consider own and others</w:t>
      </w:r>
      <w:r w:rsidRPr="00E22234">
        <w:rPr>
          <w:rFonts w:hint="eastAsia"/>
          <w:sz w:val="20"/>
          <w:szCs w:val="20"/>
          <w:lang w:val="en-US" w:eastAsia="nb-NO"/>
        </w:rPr>
        <w:t>’</w:t>
      </w:r>
      <w:r w:rsidRPr="00E22234">
        <w:rPr>
          <w:rFonts w:hint="eastAsia"/>
          <w:sz w:val="20"/>
          <w:szCs w:val="20"/>
          <w:lang w:val="en-US" w:eastAsia="nb-NO"/>
        </w:rPr>
        <w:t xml:space="preserve"> research questions and research undertakings in the light of critical theories</w:t>
      </w:r>
    </w:p>
    <w:p w:rsidR="00E22234" w:rsidRPr="00E22234" w:rsidRDefault="00E22234" w:rsidP="00E22234">
      <w:pPr>
        <w:pStyle w:val="ListParagraph"/>
        <w:numPr>
          <w:ilvl w:val="0"/>
          <w:numId w:val="2"/>
        </w:numPr>
        <w:spacing w:after="0"/>
        <w:rPr>
          <w:sz w:val="20"/>
          <w:szCs w:val="20"/>
          <w:lang w:val="en-US" w:eastAsia="nb-NO"/>
        </w:rPr>
      </w:pPr>
      <w:r w:rsidRPr="00E22234">
        <w:rPr>
          <w:rFonts w:hint="eastAsia"/>
          <w:sz w:val="20"/>
          <w:szCs w:val="20"/>
          <w:lang w:val="en-US" w:eastAsia="nb-NO"/>
        </w:rPr>
        <w:t xml:space="preserve">draw on critical perspectives when </w:t>
      </w:r>
      <w:proofErr w:type="spellStart"/>
      <w:r w:rsidRPr="00E22234">
        <w:rPr>
          <w:rFonts w:hint="eastAsia"/>
          <w:sz w:val="20"/>
          <w:szCs w:val="20"/>
          <w:lang w:val="en-US" w:eastAsia="nb-NO"/>
        </w:rPr>
        <w:t>analysing</w:t>
      </w:r>
      <w:proofErr w:type="spellEnd"/>
      <w:r w:rsidRPr="00E22234">
        <w:rPr>
          <w:rFonts w:hint="eastAsia"/>
          <w:sz w:val="20"/>
          <w:szCs w:val="20"/>
          <w:lang w:val="en-US" w:eastAsia="nb-NO"/>
        </w:rPr>
        <w:t xml:space="preserve"> and </w:t>
      </w:r>
      <w:proofErr w:type="spellStart"/>
      <w:r w:rsidRPr="00E22234">
        <w:rPr>
          <w:rFonts w:hint="eastAsia"/>
          <w:sz w:val="20"/>
          <w:szCs w:val="20"/>
          <w:lang w:val="en-US" w:eastAsia="nb-NO"/>
        </w:rPr>
        <w:t>iterpreting</w:t>
      </w:r>
      <w:proofErr w:type="spellEnd"/>
      <w:r w:rsidRPr="00E22234">
        <w:rPr>
          <w:rFonts w:hint="eastAsia"/>
          <w:sz w:val="20"/>
          <w:szCs w:val="20"/>
          <w:lang w:val="en-US" w:eastAsia="nb-NO"/>
        </w:rPr>
        <w:t xml:space="preserve"> data</w:t>
      </w:r>
    </w:p>
    <w:p w:rsidR="00E22234" w:rsidRPr="00E22234" w:rsidRDefault="00E22234" w:rsidP="00E22234">
      <w:pPr>
        <w:spacing w:after="0"/>
        <w:rPr>
          <w:b/>
          <w:sz w:val="20"/>
          <w:szCs w:val="20"/>
          <w:lang w:val="en-US" w:eastAsia="nb-NO"/>
        </w:rPr>
      </w:pPr>
      <w:r w:rsidRPr="00E22234">
        <w:rPr>
          <w:b/>
          <w:sz w:val="20"/>
          <w:szCs w:val="20"/>
          <w:lang w:val="en-US" w:eastAsia="nb-NO"/>
        </w:rPr>
        <w:t>General competence</w:t>
      </w:r>
    </w:p>
    <w:p w:rsidR="00E22234" w:rsidRPr="00E22234" w:rsidRDefault="00E22234" w:rsidP="00E22234">
      <w:pPr>
        <w:spacing w:after="0"/>
        <w:rPr>
          <w:sz w:val="20"/>
          <w:szCs w:val="20"/>
          <w:lang w:val="en-US" w:eastAsia="nb-NO"/>
        </w:rPr>
      </w:pPr>
      <w:r w:rsidRPr="00E22234">
        <w:rPr>
          <w:sz w:val="20"/>
          <w:szCs w:val="20"/>
          <w:lang w:val="en-US" w:eastAsia="nb-NO"/>
        </w:rPr>
        <w:t xml:space="preserve"> This course will give you knowledge and skills that are helpful in</w:t>
      </w:r>
    </w:p>
    <w:p w:rsidR="00E22234" w:rsidRPr="00E22234" w:rsidRDefault="00E22234" w:rsidP="00E22234">
      <w:pPr>
        <w:pStyle w:val="ListParagraph"/>
        <w:numPr>
          <w:ilvl w:val="0"/>
          <w:numId w:val="3"/>
        </w:numPr>
        <w:spacing w:after="0"/>
        <w:rPr>
          <w:sz w:val="20"/>
          <w:szCs w:val="20"/>
          <w:lang w:val="en-US" w:eastAsia="nb-NO"/>
        </w:rPr>
      </w:pPr>
      <w:r w:rsidRPr="00E22234">
        <w:rPr>
          <w:rFonts w:hint="eastAsia"/>
          <w:sz w:val="20"/>
          <w:szCs w:val="20"/>
          <w:lang w:val="en-US" w:eastAsia="nb-NO"/>
        </w:rPr>
        <w:t>exercising theoretical reflexivity</w:t>
      </w:r>
    </w:p>
    <w:p w:rsidR="00E22234" w:rsidRPr="00E22234" w:rsidRDefault="00E22234" w:rsidP="00E22234">
      <w:pPr>
        <w:pStyle w:val="ListParagraph"/>
        <w:numPr>
          <w:ilvl w:val="0"/>
          <w:numId w:val="3"/>
        </w:numPr>
        <w:spacing w:after="0"/>
        <w:rPr>
          <w:sz w:val="20"/>
          <w:szCs w:val="20"/>
          <w:lang w:val="en-US" w:eastAsia="nb-NO"/>
        </w:rPr>
      </w:pPr>
      <w:r w:rsidRPr="00E22234">
        <w:rPr>
          <w:rFonts w:hint="eastAsia"/>
          <w:sz w:val="20"/>
          <w:szCs w:val="20"/>
          <w:lang w:val="en-US" w:eastAsia="nb-NO"/>
        </w:rPr>
        <w:t xml:space="preserve">planning research and </w:t>
      </w:r>
      <w:proofErr w:type="spellStart"/>
      <w:r w:rsidRPr="00E22234">
        <w:rPr>
          <w:rFonts w:hint="eastAsia"/>
          <w:sz w:val="20"/>
          <w:szCs w:val="20"/>
          <w:lang w:val="en-US" w:eastAsia="nb-NO"/>
        </w:rPr>
        <w:t>analysing</w:t>
      </w:r>
      <w:proofErr w:type="spellEnd"/>
      <w:r w:rsidRPr="00E22234">
        <w:rPr>
          <w:rFonts w:hint="eastAsia"/>
          <w:sz w:val="20"/>
          <w:szCs w:val="20"/>
          <w:lang w:val="en-US" w:eastAsia="nb-NO"/>
        </w:rPr>
        <w:t xml:space="preserve"> data</w:t>
      </w:r>
    </w:p>
    <w:p w:rsidR="00100EE1" w:rsidRPr="00E22234" w:rsidRDefault="00E22234" w:rsidP="00E22234">
      <w:pPr>
        <w:pStyle w:val="ListParagraph"/>
        <w:numPr>
          <w:ilvl w:val="0"/>
          <w:numId w:val="3"/>
        </w:numPr>
        <w:spacing w:after="0"/>
        <w:rPr>
          <w:sz w:val="20"/>
          <w:szCs w:val="20"/>
          <w:lang w:val="en-US" w:eastAsia="nb-NO"/>
        </w:rPr>
      </w:pPr>
      <w:r w:rsidRPr="00E22234">
        <w:rPr>
          <w:rFonts w:hint="eastAsia"/>
          <w:sz w:val="20"/>
          <w:szCs w:val="20"/>
          <w:lang w:val="en-US" w:eastAsia="nb-NO"/>
        </w:rPr>
        <w:t>maintaining a critical attitude to established conceptions and paradigms in the life sciences and in health care</w:t>
      </w:r>
      <w:r w:rsidRPr="00E22234">
        <w:rPr>
          <w:sz w:val="20"/>
          <w:szCs w:val="20"/>
          <w:lang w:val="en-US" w:eastAsia="nb-NO"/>
        </w:rPr>
        <w:t xml:space="preserve"> </w:t>
      </w:r>
      <w:r w:rsidR="00100EE1" w:rsidRPr="00E22234">
        <w:rPr>
          <w:sz w:val="20"/>
          <w:szCs w:val="20"/>
          <w:lang w:val="en-US" w:eastAsia="nb-NO"/>
        </w:rPr>
        <w:br w:type="page"/>
      </w:r>
    </w:p>
    <w:p w:rsidR="00D4534C" w:rsidRDefault="00D4534C" w:rsidP="00CD5CAE">
      <w:pPr>
        <w:pStyle w:val="Heading1"/>
        <w:rPr>
          <w:lang w:val="en-US" w:eastAsia="nb-NO"/>
        </w:rPr>
      </w:pPr>
      <w:r>
        <w:rPr>
          <w:lang w:val="en-US" w:eastAsia="nb-NO"/>
        </w:rPr>
        <w:lastRenderedPageBreak/>
        <w:t>Lecturers</w:t>
      </w:r>
    </w:p>
    <w:p w:rsidR="00FE5304" w:rsidRDefault="00FE5304" w:rsidP="00C07C7D">
      <w:pPr>
        <w:spacing w:after="0" w:line="240" w:lineRule="auto"/>
        <w:rPr>
          <w:lang w:val="en-US" w:eastAsia="nb-NO"/>
        </w:rPr>
      </w:pPr>
      <w:r>
        <w:rPr>
          <w:lang w:val="en-US" w:eastAsia="nb-NO"/>
        </w:rPr>
        <w:t>Anne Kari Tolo Heggestad, p</w:t>
      </w:r>
      <w:r w:rsidRPr="00FE5304">
        <w:rPr>
          <w:lang w:val="en-US" w:eastAsia="nb-NO"/>
        </w:rPr>
        <w:t>ostdoctoral Fellow - Centre for Medical Ethics</w:t>
      </w:r>
      <w:r>
        <w:rPr>
          <w:lang w:val="en-US" w:eastAsia="nb-NO"/>
        </w:rPr>
        <w:t xml:space="preserve">, HELSAM, </w:t>
      </w:r>
      <w:proofErr w:type="spellStart"/>
      <w:r>
        <w:rPr>
          <w:lang w:val="en-US" w:eastAsia="nb-NO"/>
        </w:rPr>
        <w:t>UiO</w:t>
      </w:r>
      <w:proofErr w:type="spellEnd"/>
    </w:p>
    <w:p w:rsidR="005F53D1" w:rsidRDefault="00C04E24" w:rsidP="00C07C7D">
      <w:pPr>
        <w:spacing w:after="0" w:line="240" w:lineRule="auto"/>
        <w:rPr>
          <w:lang w:val="en-US" w:eastAsia="nb-NO"/>
        </w:rPr>
      </w:pPr>
      <w:r>
        <w:rPr>
          <w:lang w:val="en-US" w:eastAsia="nb-NO"/>
        </w:rPr>
        <w:t>Christoph Gradmann</w:t>
      </w:r>
      <w:r w:rsidR="005F53D1">
        <w:rPr>
          <w:lang w:val="en-US" w:eastAsia="nb-NO"/>
        </w:rPr>
        <w:t>, p</w:t>
      </w:r>
      <w:r w:rsidR="005F53D1" w:rsidRPr="005F53D1">
        <w:rPr>
          <w:lang w:val="en-US" w:eastAsia="nb-NO"/>
        </w:rPr>
        <w:t>rofessor - Department of Community Medicine and Global Health</w:t>
      </w:r>
      <w:r w:rsidR="005F53D1">
        <w:rPr>
          <w:lang w:val="en-US" w:eastAsia="nb-NO"/>
        </w:rPr>
        <w:t xml:space="preserve">, </w:t>
      </w:r>
      <w:proofErr w:type="spellStart"/>
      <w:r w:rsidR="005F53D1">
        <w:rPr>
          <w:lang w:val="en-US" w:eastAsia="nb-NO"/>
        </w:rPr>
        <w:t>UiO</w:t>
      </w:r>
      <w:proofErr w:type="spellEnd"/>
    </w:p>
    <w:p w:rsidR="00A65444" w:rsidRDefault="00A65444" w:rsidP="00C07C7D">
      <w:pPr>
        <w:spacing w:after="0" w:line="240" w:lineRule="auto"/>
        <w:rPr>
          <w:lang w:val="en-US" w:eastAsia="nb-NO"/>
        </w:rPr>
      </w:pPr>
      <w:r>
        <w:rPr>
          <w:lang w:val="en-US" w:eastAsia="nb-NO"/>
        </w:rPr>
        <w:t xml:space="preserve">Dag Album, professor, </w:t>
      </w:r>
      <w:r w:rsidRPr="00A65444">
        <w:rPr>
          <w:lang w:val="en-US" w:eastAsia="nb-NO"/>
        </w:rPr>
        <w:t>Department of Sociology and Human Geography</w:t>
      </w:r>
      <w:r>
        <w:rPr>
          <w:lang w:val="en-US" w:eastAsia="nb-NO"/>
        </w:rPr>
        <w:t xml:space="preserve">, </w:t>
      </w:r>
      <w:proofErr w:type="spellStart"/>
      <w:r>
        <w:rPr>
          <w:lang w:val="en-US" w:eastAsia="nb-NO"/>
        </w:rPr>
        <w:t>UiO</w:t>
      </w:r>
      <w:proofErr w:type="spellEnd"/>
    </w:p>
    <w:p w:rsidR="00D4534C" w:rsidRDefault="00D4534C" w:rsidP="00C07C7D">
      <w:pPr>
        <w:spacing w:after="0" w:line="240" w:lineRule="auto"/>
        <w:rPr>
          <w:lang w:val="en-US" w:eastAsia="nb-NO"/>
        </w:rPr>
      </w:pPr>
      <w:r>
        <w:rPr>
          <w:lang w:val="en-US" w:eastAsia="nb-NO"/>
        </w:rPr>
        <w:t>Jan Grue,</w:t>
      </w:r>
      <w:r w:rsidR="004B753F">
        <w:rPr>
          <w:lang w:val="en-US" w:eastAsia="nb-NO"/>
        </w:rPr>
        <w:t xml:space="preserve"> </w:t>
      </w:r>
      <w:r>
        <w:rPr>
          <w:lang w:val="en-US" w:eastAsia="nb-NO"/>
        </w:rPr>
        <w:t>p</w:t>
      </w:r>
      <w:r w:rsidRPr="00D4534C">
        <w:rPr>
          <w:lang w:val="en-US" w:eastAsia="nb-NO"/>
        </w:rPr>
        <w:t xml:space="preserve">rofessor in Qualitative Methods at the Department of Special Needs Education, </w:t>
      </w:r>
      <w:proofErr w:type="spellStart"/>
      <w:r w:rsidRPr="00D4534C">
        <w:rPr>
          <w:lang w:val="en-US" w:eastAsia="nb-NO"/>
        </w:rPr>
        <w:t>UiO</w:t>
      </w:r>
      <w:proofErr w:type="spellEnd"/>
      <w:r w:rsidR="004B753F">
        <w:rPr>
          <w:lang w:val="en-US" w:eastAsia="nb-NO"/>
        </w:rPr>
        <w:t>.</w:t>
      </w:r>
    </w:p>
    <w:p w:rsidR="00E02E41" w:rsidRDefault="00E02E41" w:rsidP="00C07C7D">
      <w:pPr>
        <w:spacing w:after="0" w:line="240" w:lineRule="auto"/>
        <w:rPr>
          <w:lang w:val="en-US" w:eastAsia="nb-NO"/>
        </w:rPr>
      </w:pPr>
      <w:r>
        <w:rPr>
          <w:lang w:val="en-US" w:eastAsia="nb-NO"/>
        </w:rPr>
        <w:t xml:space="preserve">Jeanette H. Magnus, </w:t>
      </w:r>
      <w:r w:rsidRPr="00E02E41">
        <w:rPr>
          <w:lang w:val="en-US" w:eastAsia="nb-NO"/>
        </w:rPr>
        <w:t>Senior Adviser - Management Section</w:t>
      </w:r>
      <w:r>
        <w:rPr>
          <w:lang w:val="en-US" w:eastAsia="nb-NO"/>
        </w:rPr>
        <w:t xml:space="preserve">, Faculty of Medicine, </w:t>
      </w:r>
      <w:proofErr w:type="spellStart"/>
      <w:r>
        <w:rPr>
          <w:lang w:val="en-US" w:eastAsia="nb-NO"/>
        </w:rPr>
        <w:t>UiO</w:t>
      </w:r>
      <w:proofErr w:type="spellEnd"/>
      <w:r>
        <w:rPr>
          <w:lang w:val="en-US" w:eastAsia="nb-NO"/>
        </w:rPr>
        <w:t>.</w:t>
      </w:r>
    </w:p>
    <w:p w:rsidR="00A60988" w:rsidRPr="00D4534C" w:rsidRDefault="00DE1317" w:rsidP="00C07C7D">
      <w:pPr>
        <w:spacing w:after="0" w:line="240" w:lineRule="auto"/>
        <w:rPr>
          <w:lang w:val="en-US" w:eastAsia="nb-NO"/>
        </w:rPr>
      </w:pPr>
      <w:r>
        <w:rPr>
          <w:lang w:val="en-US" w:eastAsia="nb-NO"/>
        </w:rPr>
        <w:t>Lisbeth Thoresen, a</w:t>
      </w:r>
      <w:r w:rsidR="00A60988" w:rsidRPr="00A60988">
        <w:rPr>
          <w:lang w:val="en-US" w:eastAsia="nb-NO"/>
        </w:rPr>
        <w:t xml:space="preserve">ssociate professor, Department of Health Sciences, Faculty of Medicine, </w:t>
      </w:r>
      <w:proofErr w:type="spellStart"/>
      <w:r w:rsidR="00A60988" w:rsidRPr="00A60988">
        <w:rPr>
          <w:lang w:val="en-US" w:eastAsia="nb-NO"/>
        </w:rPr>
        <w:t>UiO</w:t>
      </w:r>
      <w:proofErr w:type="spellEnd"/>
      <w:r w:rsidR="00A60988">
        <w:rPr>
          <w:lang w:val="en-US" w:eastAsia="nb-NO"/>
        </w:rPr>
        <w:t>.</w:t>
      </w:r>
    </w:p>
    <w:p w:rsidR="00F27A8E" w:rsidRDefault="00F27A8E" w:rsidP="00C07C7D">
      <w:pPr>
        <w:spacing w:after="0" w:line="240" w:lineRule="auto"/>
        <w:rPr>
          <w:lang w:val="en-US" w:eastAsia="nb-NO"/>
        </w:rPr>
      </w:pPr>
      <w:r w:rsidRPr="00DE1317">
        <w:rPr>
          <w:lang w:val="en-US" w:eastAsia="nb-NO"/>
        </w:rPr>
        <w:t>Eli Feiring, associate professor at Department of Health Management and Health Economics,</w:t>
      </w:r>
      <w:r>
        <w:rPr>
          <w:lang w:val="en-US" w:eastAsia="nb-NO"/>
        </w:rPr>
        <w:t xml:space="preserve"> </w:t>
      </w:r>
      <w:proofErr w:type="spellStart"/>
      <w:r w:rsidRPr="00DE1317">
        <w:rPr>
          <w:lang w:val="en-US" w:eastAsia="nb-NO"/>
        </w:rPr>
        <w:t>UiO</w:t>
      </w:r>
      <w:proofErr w:type="spellEnd"/>
    </w:p>
    <w:p w:rsidR="00F27A8E" w:rsidRDefault="00F27A8E" w:rsidP="00C07C7D">
      <w:pPr>
        <w:spacing w:after="0" w:line="240" w:lineRule="auto"/>
        <w:rPr>
          <w:lang w:val="en-US" w:eastAsia="nb-NO"/>
        </w:rPr>
      </w:pPr>
      <w:r>
        <w:rPr>
          <w:lang w:val="en-US" w:eastAsia="nb-NO"/>
        </w:rPr>
        <w:t xml:space="preserve">Gunnar Tellnes, professor, </w:t>
      </w:r>
      <w:r w:rsidRPr="00F27A8E">
        <w:rPr>
          <w:lang w:val="en-US" w:eastAsia="nb-NO"/>
        </w:rPr>
        <w:t>Department of Community Medicine and Global Health</w:t>
      </w:r>
      <w:r>
        <w:rPr>
          <w:lang w:val="en-US" w:eastAsia="nb-NO"/>
        </w:rPr>
        <w:t xml:space="preserve">, Faculty of Medicine, </w:t>
      </w:r>
      <w:proofErr w:type="spellStart"/>
      <w:r>
        <w:rPr>
          <w:lang w:val="en-US" w:eastAsia="nb-NO"/>
        </w:rPr>
        <w:t>UiO</w:t>
      </w:r>
      <w:proofErr w:type="spellEnd"/>
    </w:p>
    <w:p w:rsidR="00F27A8E" w:rsidRDefault="00F27A8E" w:rsidP="00C07C7D">
      <w:pPr>
        <w:spacing w:after="0" w:line="240" w:lineRule="auto"/>
        <w:rPr>
          <w:lang w:val="en-US" w:eastAsia="nb-NO"/>
        </w:rPr>
      </w:pPr>
      <w:r>
        <w:rPr>
          <w:lang w:val="en-US" w:eastAsia="nb-NO"/>
        </w:rPr>
        <w:t>Kari Nyheim Solbræ</w:t>
      </w:r>
      <w:r w:rsidRPr="00F27A8E">
        <w:rPr>
          <w:lang w:val="en-US" w:eastAsia="nb-NO"/>
        </w:rPr>
        <w:t>kke</w:t>
      </w:r>
      <w:r>
        <w:rPr>
          <w:lang w:val="en-US" w:eastAsia="nb-NO"/>
        </w:rPr>
        <w:t xml:space="preserve">, </w:t>
      </w:r>
      <w:r w:rsidRPr="00F27A8E">
        <w:rPr>
          <w:lang w:val="en-US" w:eastAsia="nb-NO"/>
        </w:rPr>
        <w:t>Department of Health Sciences</w:t>
      </w:r>
      <w:r>
        <w:rPr>
          <w:lang w:val="en-US" w:eastAsia="nb-NO"/>
        </w:rPr>
        <w:t xml:space="preserve">, Faculty of Medicine, </w:t>
      </w:r>
      <w:proofErr w:type="spellStart"/>
      <w:r>
        <w:rPr>
          <w:lang w:val="en-US" w:eastAsia="nb-NO"/>
        </w:rPr>
        <w:t>UiO</w:t>
      </w:r>
      <w:proofErr w:type="spellEnd"/>
    </w:p>
    <w:p w:rsidR="00FE5304" w:rsidRDefault="00FE5304" w:rsidP="00C07C7D">
      <w:pPr>
        <w:spacing w:after="0" w:line="240" w:lineRule="auto"/>
        <w:rPr>
          <w:lang w:val="en-US" w:eastAsia="nb-NO"/>
        </w:rPr>
      </w:pPr>
      <w:r>
        <w:rPr>
          <w:lang w:val="en-US" w:eastAsia="nb-NO"/>
        </w:rPr>
        <w:t>Kåre Moen, a</w:t>
      </w:r>
      <w:r w:rsidRPr="00FE5304">
        <w:rPr>
          <w:lang w:val="en-US" w:eastAsia="nb-NO"/>
        </w:rPr>
        <w:t>ssociate Professor - Department of Community Medicine and Global Health</w:t>
      </w:r>
      <w:r>
        <w:rPr>
          <w:lang w:val="en-US" w:eastAsia="nb-NO"/>
        </w:rPr>
        <w:t xml:space="preserve">, </w:t>
      </w:r>
      <w:proofErr w:type="spellStart"/>
      <w:r>
        <w:rPr>
          <w:lang w:val="en-US" w:eastAsia="nb-NO"/>
        </w:rPr>
        <w:t>UiO</w:t>
      </w:r>
      <w:proofErr w:type="spellEnd"/>
    </w:p>
    <w:p w:rsidR="00BB5CD0" w:rsidRDefault="00BB5CD0" w:rsidP="00C07C7D">
      <w:pPr>
        <w:spacing w:after="0" w:line="240" w:lineRule="auto"/>
        <w:rPr>
          <w:lang w:val="en-US" w:eastAsia="nb-NO"/>
        </w:rPr>
      </w:pPr>
      <w:r w:rsidRPr="00BB5CD0">
        <w:rPr>
          <w:lang w:val="en-US" w:eastAsia="nb-NO"/>
        </w:rPr>
        <w:t>Nina K. Vøllestad, professor and head of Institute of Health and Society, University of Oslo</w:t>
      </w:r>
      <w:r w:rsidR="00A60988">
        <w:rPr>
          <w:lang w:val="en-US" w:eastAsia="nb-NO"/>
        </w:rPr>
        <w:t>.</w:t>
      </w:r>
    </w:p>
    <w:p w:rsidR="00433A86" w:rsidRDefault="00433A86" w:rsidP="0010371C">
      <w:pPr>
        <w:spacing w:line="240" w:lineRule="auto"/>
        <w:rPr>
          <w:lang w:val="en-US" w:eastAsia="nb-NO"/>
        </w:rPr>
      </w:pPr>
      <w:r w:rsidRPr="00433A86">
        <w:rPr>
          <w:lang w:val="en-US" w:eastAsia="nb-NO"/>
        </w:rPr>
        <w:t xml:space="preserve">Bjørn Hofmann, </w:t>
      </w:r>
      <w:r>
        <w:rPr>
          <w:lang w:val="en-US" w:eastAsia="nb-NO"/>
        </w:rPr>
        <w:t xml:space="preserve">professor, </w:t>
      </w:r>
      <w:r w:rsidRPr="00433A86">
        <w:rPr>
          <w:lang w:val="en-US" w:eastAsia="nb-NO"/>
        </w:rPr>
        <w:t xml:space="preserve">Institute for the health sciences, NTNU </w:t>
      </w:r>
      <w:proofErr w:type="spellStart"/>
      <w:r w:rsidRPr="00433A86">
        <w:rPr>
          <w:lang w:val="en-US" w:eastAsia="nb-NO"/>
        </w:rPr>
        <w:t>Gjøvik</w:t>
      </w:r>
      <w:proofErr w:type="spellEnd"/>
      <w:r w:rsidRPr="00433A86">
        <w:rPr>
          <w:lang w:val="en-US" w:eastAsia="nb-NO"/>
        </w:rPr>
        <w:t xml:space="preserve"> and Centre for medical ethics, HELSAM, </w:t>
      </w:r>
      <w:proofErr w:type="spellStart"/>
      <w:r w:rsidRPr="00433A86">
        <w:rPr>
          <w:lang w:val="en-US" w:eastAsia="nb-NO"/>
        </w:rPr>
        <w:t>UiO</w:t>
      </w:r>
      <w:proofErr w:type="spellEnd"/>
      <w:r w:rsidRPr="00433A86">
        <w:rPr>
          <w:lang w:val="en-US" w:eastAsia="nb-NO"/>
        </w:rPr>
        <w:t>.</w:t>
      </w:r>
    </w:p>
    <w:p w:rsidR="00A41E54" w:rsidRDefault="00A41E54" w:rsidP="0010371C">
      <w:pPr>
        <w:pStyle w:val="Heading1"/>
        <w:spacing w:before="0"/>
        <w:rPr>
          <w:lang w:val="en-US" w:eastAsia="nb-NO"/>
        </w:rPr>
      </w:pPr>
      <w:r>
        <w:rPr>
          <w:lang w:val="en-US" w:eastAsia="nb-NO"/>
        </w:rPr>
        <w:lastRenderedPageBreak/>
        <w:t>Continuous reflection</w:t>
      </w:r>
    </w:p>
    <w:p w:rsidR="00A41E54" w:rsidRPr="00A41E54" w:rsidRDefault="00A41E54" w:rsidP="00A41E54">
      <w:pPr>
        <w:rPr>
          <w:lang w:val="en-US" w:eastAsia="nb-NO"/>
        </w:rPr>
      </w:pPr>
      <w:r>
        <w:rPr>
          <w:lang w:val="en-US" w:eastAsia="nb-NO"/>
        </w:rPr>
        <w:t xml:space="preserve">Each day you are asked to reflect on the relevance of the topics for your own research. You will make reflection notes which can become valuable entries for your exam (essay). </w:t>
      </w:r>
    </w:p>
    <w:p w:rsidR="00A90ED8" w:rsidRDefault="00A90ED8" w:rsidP="00A90ED8">
      <w:pPr>
        <w:pStyle w:val="Heading1"/>
        <w:spacing w:before="0"/>
        <w:rPr>
          <w:lang w:val="en-US" w:eastAsia="nb-NO"/>
        </w:rPr>
      </w:pPr>
      <w:r>
        <w:rPr>
          <w:lang w:val="en-US" w:eastAsia="nb-NO"/>
        </w:rPr>
        <w:t>Reading list</w:t>
      </w:r>
    </w:p>
    <w:p w:rsidR="00A90ED8" w:rsidRPr="00536311" w:rsidRDefault="00A90ED8" w:rsidP="00A90ED8">
      <w:pPr>
        <w:rPr>
          <w:lang w:val="en-US" w:eastAsia="nb-NO"/>
        </w:rPr>
      </w:pPr>
      <w:r>
        <w:rPr>
          <w:lang w:val="en-US" w:eastAsia="nb-NO"/>
        </w:rPr>
        <w:t>Each participant should put together an individual reading list of 350 pages where at least 200 pages stems from the core reading list of the course.</w:t>
      </w:r>
      <w:r w:rsidR="00862419">
        <w:rPr>
          <w:lang w:val="en-US" w:eastAsia="nb-NO"/>
        </w:rPr>
        <w:t xml:space="preserve"> The reading list has to be submitted by the end of the lectures. </w:t>
      </w:r>
    </w:p>
    <w:p w:rsidR="006E16CA" w:rsidRDefault="006E16CA" w:rsidP="0010371C">
      <w:pPr>
        <w:pStyle w:val="Heading1"/>
        <w:spacing w:before="0"/>
        <w:rPr>
          <w:lang w:val="en-US" w:eastAsia="nb-NO"/>
        </w:rPr>
      </w:pPr>
      <w:r>
        <w:rPr>
          <w:lang w:val="en-US" w:eastAsia="nb-NO"/>
        </w:rPr>
        <w:t>Teaching</w:t>
      </w:r>
    </w:p>
    <w:p w:rsidR="006E16CA" w:rsidRPr="006E16CA" w:rsidRDefault="006E16CA" w:rsidP="006E16CA">
      <w:pPr>
        <w:rPr>
          <w:lang w:val="en-US" w:eastAsia="nb-NO"/>
        </w:rPr>
      </w:pPr>
      <w:r>
        <w:rPr>
          <w:lang w:val="en-US" w:eastAsia="nb-NO"/>
        </w:rPr>
        <w:t>The</w:t>
      </w:r>
      <w:r w:rsidRPr="006E16CA">
        <w:rPr>
          <w:lang w:val="en-US" w:eastAsia="nb-NO"/>
        </w:rPr>
        <w:t xml:space="preserve"> course entails a mix of lectures, discussions, group work</w:t>
      </w:r>
      <w:r>
        <w:rPr>
          <w:lang w:val="en-US" w:eastAsia="nb-NO"/>
        </w:rPr>
        <w:t>, and presentation of reflection notes</w:t>
      </w:r>
      <w:r w:rsidRPr="006E16CA">
        <w:rPr>
          <w:lang w:val="en-US" w:eastAsia="nb-NO"/>
        </w:rPr>
        <w:t>.</w:t>
      </w:r>
    </w:p>
    <w:p w:rsidR="0018656F" w:rsidRDefault="0018656F" w:rsidP="0010371C">
      <w:pPr>
        <w:pStyle w:val="Heading1"/>
        <w:spacing w:before="0"/>
        <w:rPr>
          <w:lang w:val="en-US" w:eastAsia="nb-NO"/>
        </w:rPr>
      </w:pPr>
      <w:r>
        <w:rPr>
          <w:lang w:val="en-US" w:eastAsia="nb-NO"/>
        </w:rPr>
        <w:t>Examination</w:t>
      </w:r>
    </w:p>
    <w:p w:rsidR="0018656F" w:rsidRPr="0018656F" w:rsidRDefault="0018656F" w:rsidP="0018656F">
      <w:pPr>
        <w:rPr>
          <w:lang w:val="en-US" w:eastAsia="nb-NO"/>
        </w:rPr>
      </w:pPr>
      <w:r w:rsidRPr="0018656F">
        <w:rPr>
          <w:lang w:val="en-US" w:eastAsia="nb-NO"/>
        </w:rPr>
        <w:t xml:space="preserve">Take-home course exam: write an essay that discusses your own research in the light of the perspectives discussed in the course. The essay should be between 7 and 10 pages and be submitted within </w:t>
      </w:r>
      <w:r w:rsidR="00FB05DD">
        <w:rPr>
          <w:lang w:val="en-US" w:eastAsia="nb-NO"/>
        </w:rPr>
        <w:t xml:space="preserve">before August </w:t>
      </w:r>
      <w:r w:rsidR="00AF32AE">
        <w:rPr>
          <w:lang w:val="en-US" w:eastAsia="nb-NO"/>
        </w:rPr>
        <w:t>6</w:t>
      </w:r>
      <w:r w:rsidR="00FB05DD">
        <w:rPr>
          <w:lang w:val="en-US" w:eastAsia="nb-NO"/>
        </w:rPr>
        <w:t xml:space="preserve"> at 16.00</w:t>
      </w:r>
      <w:r w:rsidRPr="0018656F">
        <w:rPr>
          <w:lang w:val="en-US" w:eastAsia="nb-NO"/>
        </w:rPr>
        <w:t>. Use Times New Roman font size 12, line spacing 1.5).</w:t>
      </w:r>
    </w:p>
    <w:p w:rsidR="00B4138D" w:rsidRDefault="00B4138D" w:rsidP="0010371C">
      <w:pPr>
        <w:pStyle w:val="Heading1"/>
        <w:spacing w:before="0"/>
        <w:rPr>
          <w:lang w:val="en-US" w:eastAsia="nb-NO"/>
        </w:rPr>
      </w:pPr>
      <w:r>
        <w:rPr>
          <w:lang w:val="en-US" w:eastAsia="nb-NO"/>
        </w:rPr>
        <w:t>Course committee</w:t>
      </w:r>
    </w:p>
    <w:p w:rsidR="00B4138D" w:rsidRDefault="00B4138D" w:rsidP="0010371C">
      <w:pPr>
        <w:spacing w:after="0" w:line="240" w:lineRule="auto"/>
        <w:rPr>
          <w:lang w:val="en-US" w:eastAsia="nb-NO"/>
        </w:rPr>
      </w:pPr>
      <w:r>
        <w:rPr>
          <w:lang w:val="en-US" w:eastAsia="nb-NO"/>
        </w:rPr>
        <w:t xml:space="preserve">Professor Ingrid Christina Foss, </w:t>
      </w:r>
      <w:r w:rsidRPr="00B4138D">
        <w:rPr>
          <w:lang w:val="en-US" w:eastAsia="nb-NO"/>
        </w:rPr>
        <w:t>Department of Nursing Science</w:t>
      </w:r>
      <w:r>
        <w:rPr>
          <w:lang w:val="en-US" w:eastAsia="nb-NO"/>
        </w:rPr>
        <w:t>, HELSAM</w:t>
      </w:r>
    </w:p>
    <w:p w:rsidR="00B4138D" w:rsidRPr="00B4138D" w:rsidRDefault="00B4138D" w:rsidP="0010371C">
      <w:pPr>
        <w:spacing w:after="0" w:line="240" w:lineRule="auto"/>
        <w:rPr>
          <w:lang w:val="en-US" w:eastAsia="nb-NO"/>
        </w:rPr>
      </w:pPr>
      <w:r>
        <w:rPr>
          <w:lang w:val="en-US" w:eastAsia="nb-NO"/>
        </w:rPr>
        <w:t>Associate Professor Eli Feiring,</w:t>
      </w:r>
      <w:r w:rsidRPr="00B4138D">
        <w:rPr>
          <w:lang w:val="en-US" w:eastAsia="nb-NO"/>
        </w:rPr>
        <w:t xml:space="preserve"> Department of Health Management and Health Economics</w:t>
      </w:r>
      <w:r>
        <w:rPr>
          <w:lang w:val="en-US" w:eastAsia="nb-NO"/>
        </w:rPr>
        <w:t>, HELSAM.</w:t>
      </w:r>
    </w:p>
    <w:p w:rsidR="00B4138D" w:rsidRDefault="00B4138D" w:rsidP="0010371C">
      <w:pPr>
        <w:spacing w:after="0" w:line="240" w:lineRule="auto"/>
        <w:rPr>
          <w:lang w:val="en-US" w:eastAsia="nb-NO"/>
        </w:rPr>
      </w:pPr>
      <w:r>
        <w:rPr>
          <w:lang w:val="en-US" w:eastAsia="nb-NO"/>
        </w:rPr>
        <w:t xml:space="preserve">Professor Eivind Engebretsen, </w:t>
      </w:r>
      <w:r w:rsidRPr="00B4138D">
        <w:rPr>
          <w:lang w:val="en-US" w:eastAsia="nb-NO"/>
        </w:rPr>
        <w:t>Department of Health Sciences</w:t>
      </w:r>
      <w:r>
        <w:rPr>
          <w:lang w:val="en-US" w:eastAsia="nb-NO"/>
        </w:rPr>
        <w:t>, HELSAM.</w:t>
      </w:r>
    </w:p>
    <w:p w:rsidR="00B4138D" w:rsidRDefault="00B4138D" w:rsidP="0010371C">
      <w:pPr>
        <w:spacing w:after="0" w:line="240" w:lineRule="auto"/>
        <w:rPr>
          <w:lang w:val="en-US" w:eastAsia="nb-NO"/>
        </w:rPr>
      </w:pPr>
      <w:r>
        <w:rPr>
          <w:lang w:val="en-US" w:eastAsia="nb-NO"/>
        </w:rPr>
        <w:lastRenderedPageBreak/>
        <w:t xml:space="preserve">Associate professor Kåre Moen, </w:t>
      </w:r>
      <w:r w:rsidRPr="00B4138D">
        <w:rPr>
          <w:lang w:val="en-US" w:eastAsia="nb-NO"/>
        </w:rPr>
        <w:t>Department of Community Medicine and Global Health</w:t>
      </w:r>
      <w:r>
        <w:rPr>
          <w:lang w:val="en-US" w:eastAsia="nb-NO"/>
        </w:rPr>
        <w:t>, HELSAM.</w:t>
      </w:r>
    </w:p>
    <w:p w:rsidR="00B4138D" w:rsidRDefault="00B4138D" w:rsidP="0010371C">
      <w:pPr>
        <w:spacing w:after="0" w:line="240" w:lineRule="auto"/>
        <w:rPr>
          <w:lang w:val="en-US" w:eastAsia="nb-NO"/>
        </w:rPr>
      </w:pPr>
      <w:r>
        <w:rPr>
          <w:lang w:val="en-US" w:eastAsia="nb-NO"/>
        </w:rPr>
        <w:t xml:space="preserve">Professor Bjørn Hofmann, NTNU </w:t>
      </w:r>
      <w:proofErr w:type="spellStart"/>
      <w:r>
        <w:rPr>
          <w:lang w:val="en-US" w:eastAsia="nb-NO"/>
        </w:rPr>
        <w:t>Gjøvik</w:t>
      </w:r>
      <w:proofErr w:type="spellEnd"/>
      <w:r>
        <w:rPr>
          <w:lang w:val="en-US" w:eastAsia="nb-NO"/>
        </w:rPr>
        <w:t xml:space="preserve"> and Centre for medical ethics, HELSAM.</w:t>
      </w:r>
    </w:p>
    <w:p w:rsidR="00B4138D" w:rsidRDefault="00B4138D" w:rsidP="006A0B33">
      <w:pPr>
        <w:pStyle w:val="Heading1"/>
        <w:spacing w:before="120" w:line="240" w:lineRule="auto"/>
        <w:rPr>
          <w:lang w:val="en-US" w:eastAsia="nb-NO"/>
        </w:rPr>
      </w:pPr>
      <w:r>
        <w:rPr>
          <w:lang w:val="en-US" w:eastAsia="nb-NO"/>
        </w:rPr>
        <w:t>Course leader</w:t>
      </w:r>
    </w:p>
    <w:p w:rsidR="00B4138D" w:rsidRDefault="00B4138D" w:rsidP="00B4138D">
      <w:pPr>
        <w:rPr>
          <w:lang w:val="en-US" w:eastAsia="nb-NO"/>
        </w:rPr>
      </w:pPr>
      <w:r>
        <w:rPr>
          <w:lang w:val="en-US" w:eastAsia="nb-NO"/>
        </w:rPr>
        <w:t xml:space="preserve">Professor Bjørn Hofmann, </w:t>
      </w:r>
      <w:r w:rsidR="00A33443">
        <w:rPr>
          <w:lang w:val="en-US" w:eastAsia="nb-NO"/>
        </w:rPr>
        <w:t xml:space="preserve">Institute for the health sciences, </w:t>
      </w:r>
      <w:r>
        <w:rPr>
          <w:lang w:val="en-US" w:eastAsia="nb-NO"/>
        </w:rPr>
        <w:t xml:space="preserve">NTNU </w:t>
      </w:r>
      <w:proofErr w:type="spellStart"/>
      <w:r>
        <w:rPr>
          <w:lang w:val="en-US" w:eastAsia="nb-NO"/>
        </w:rPr>
        <w:t>Gjøvik</w:t>
      </w:r>
      <w:proofErr w:type="spellEnd"/>
      <w:r>
        <w:rPr>
          <w:lang w:val="en-US" w:eastAsia="nb-NO"/>
        </w:rPr>
        <w:t xml:space="preserve"> and Centre for medical ethics, HELSAM</w:t>
      </w:r>
      <w:r w:rsidR="00A33443">
        <w:rPr>
          <w:lang w:val="en-US" w:eastAsia="nb-NO"/>
        </w:rPr>
        <w:t xml:space="preserve">, </w:t>
      </w:r>
      <w:proofErr w:type="spellStart"/>
      <w:r w:rsidR="00A33443">
        <w:rPr>
          <w:lang w:val="en-US" w:eastAsia="nb-NO"/>
        </w:rPr>
        <w:t>UiO</w:t>
      </w:r>
      <w:proofErr w:type="spellEnd"/>
      <w:r>
        <w:rPr>
          <w:lang w:val="en-US" w:eastAsia="nb-NO"/>
        </w:rPr>
        <w:t>.</w:t>
      </w:r>
    </w:p>
    <w:p w:rsidR="006A0B33" w:rsidRDefault="006A0B33" w:rsidP="006A0B33">
      <w:pPr>
        <w:pStyle w:val="Heading1"/>
        <w:spacing w:before="240"/>
        <w:rPr>
          <w:lang w:val="en-US" w:eastAsia="nb-NO"/>
        </w:rPr>
      </w:pPr>
      <w:r>
        <w:rPr>
          <w:lang w:val="en-US" w:eastAsia="nb-NO"/>
        </w:rPr>
        <w:t>Place</w:t>
      </w:r>
    </w:p>
    <w:p w:rsidR="006A0B33" w:rsidRDefault="006A0B33" w:rsidP="00B4138D">
      <w:pPr>
        <w:rPr>
          <w:lang w:eastAsia="nb-NO"/>
        </w:rPr>
      </w:pPr>
      <w:r w:rsidRPr="006A0B33">
        <w:rPr>
          <w:lang w:eastAsia="nb-NO"/>
        </w:rPr>
        <w:t xml:space="preserve">Room 123, Fredrik Holsts Hus, Ullevål: </w:t>
      </w:r>
      <w:hyperlink r:id="rId7" w:history="1">
        <w:r w:rsidRPr="00930F2A">
          <w:rPr>
            <w:rStyle w:val="Hyperlink"/>
            <w:lang w:eastAsia="nb-NO"/>
          </w:rPr>
          <w:t>https://www.uio.no/english/about/getting-around/areas/geitmyrsveien-ulleval/gv05/</w:t>
        </w:r>
      </w:hyperlink>
      <w:r>
        <w:rPr>
          <w:lang w:eastAsia="nb-NO"/>
        </w:rPr>
        <w:t xml:space="preserve"> </w:t>
      </w:r>
    </w:p>
    <w:p w:rsidR="006A0B33" w:rsidRPr="006A0B33" w:rsidRDefault="006A0B33" w:rsidP="00B4138D">
      <w:pPr>
        <w:rPr>
          <w:lang w:val="en-US" w:eastAsia="nb-NO"/>
        </w:rPr>
      </w:pPr>
      <w:r>
        <w:rPr>
          <w:lang w:val="en-US" w:eastAsia="nb-NO"/>
        </w:rPr>
        <w:t>On Monday June 11, 12.3</w:t>
      </w:r>
      <w:r w:rsidRPr="006A0B33">
        <w:rPr>
          <w:lang w:val="en-US" w:eastAsia="nb-NO"/>
        </w:rPr>
        <w:t>0</w:t>
      </w:r>
      <w:r>
        <w:rPr>
          <w:lang w:val="en-US" w:eastAsia="nb-NO"/>
        </w:rPr>
        <w:t>-</w:t>
      </w:r>
      <w:r w:rsidRPr="006A0B33">
        <w:rPr>
          <w:lang w:val="en-US" w:eastAsia="nb-NO"/>
        </w:rPr>
        <w:t>16.00</w:t>
      </w:r>
      <w:r>
        <w:rPr>
          <w:lang w:val="en-US" w:eastAsia="nb-NO"/>
        </w:rPr>
        <w:t xml:space="preserve"> the course will be held in the Auditorium (124) in Fredrik </w:t>
      </w:r>
      <w:proofErr w:type="spellStart"/>
      <w:r>
        <w:rPr>
          <w:lang w:val="en-US" w:eastAsia="nb-NO"/>
        </w:rPr>
        <w:t>Holsts</w:t>
      </w:r>
      <w:proofErr w:type="spellEnd"/>
      <w:r>
        <w:rPr>
          <w:lang w:val="en-US" w:eastAsia="nb-NO"/>
        </w:rPr>
        <w:t xml:space="preserve"> Hus</w:t>
      </w:r>
    </w:p>
    <w:p w:rsidR="00EF40F5" w:rsidRPr="006A0B33" w:rsidRDefault="00EF40F5" w:rsidP="00EF40F5">
      <w:pPr>
        <w:pStyle w:val="Heading1"/>
        <w:rPr>
          <w:lang w:val="en-US" w:eastAsia="nb-NO"/>
        </w:rPr>
        <w:sectPr w:rsidR="00EF40F5" w:rsidRPr="006A0B33">
          <w:footerReference w:type="default" r:id="rId8"/>
          <w:pgSz w:w="11906" w:h="16838"/>
          <w:pgMar w:top="1417" w:right="1417" w:bottom="1417" w:left="1417" w:header="708" w:footer="708" w:gutter="0"/>
          <w:cols w:space="708"/>
          <w:docGrid w:linePitch="360"/>
        </w:sectPr>
      </w:pPr>
    </w:p>
    <w:p w:rsidR="00EF40F5" w:rsidRDefault="00EF40F5" w:rsidP="00EF40F5">
      <w:pPr>
        <w:pStyle w:val="Heading1"/>
        <w:rPr>
          <w:lang w:val="en-US" w:eastAsia="nb-NO"/>
        </w:rPr>
      </w:pPr>
      <w:r>
        <w:rPr>
          <w:lang w:val="en-US" w:eastAsia="nb-NO"/>
        </w:rPr>
        <w:lastRenderedPageBreak/>
        <w:t>Course plan</w:t>
      </w:r>
    </w:p>
    <w:tbl>
      <w:tblPr>
        <w:tblStyle w:val="TableGrid"/>
        <w:tblW w:w="15134" w:type="dxa"/>
        <w:tblLook w:val="04A0" w:firstRow="1" w:lastRow="0" w:firstColumn="1" w:lastColumn="0" w:noHBand="0" w:noVBand="1"/>
      </w:tblPr>
      <w:tblGrid>
        <w:gridCol w:w="1668"/>
        <w:gridCol w:w="2835"/>
        <w:gridCol w:w="2693"/>
        <w:gridCol w:w="2693"/>
        <w:gridCol w:w="2693"/>
        <w:gridCol w:w="2552"/>
      </w:tblGrid>
      <w:tr w:rsidR="00EF40F5" w:rsidRPr="00315E6B" w:rsidTr="004F6264">
        <w:tc>
          <w:tcPr>
            <w:tcW w:w="1668" w:type="dxa"/>
            <w:shd w:val="clear" w:color="auto" w:fill="002060"/>
          </w:tcPr>
          <w:p w:rsidR="00EF40F5" w:rsidRPr="00315E6B" w:rsidRDefault="00EF40F5" w:rsidP="004F6264">
            <w:pPr>
              <w:jc w:val="center"/>
              <w:rPr>
                <w:sz w:val="24"/>
              </w:rPr>
            </w:pPr>
          </w:p>
        </w:tc>
        <w:tc>
          <w:tcPr>
            <w:tcW w:w="2835" w:type="dxa"/>
            <w:shd w:val="clear" w:color="auto" w:fill="002060"/>
          </w:tcPr>
          <w:p w:rsidR="00EF40F5" w:rsidRPr="00315E6B" w:rsidRDefault="00EF40F5" w:rsidP="004F6264">
            <w:pPr>
              <w:jc w:val="center"/>
              <w:rPr>
                <w:sz w:val="24"/>
              </w:rPr>
            </w:pPr>
            <w:proofErr w:type="spellStart"/>
            <w:r w:rsidRPr="00315E6B">
              <w:rPr>
                <w:sz w:val="24"/>
              </w:rPr>
              <w:t>Monday</w:t>
            </w:r>
            <w:proofErr w:type="spellEnd"/>
            <w:r>
              <w:rPr>
                <w:sz w:val="24"/>
              </w:rPr>
              <w:t xml:space="preserve"> 1</w:t>
            </w:r>
            <w:r w:rsidR="00862419">
              <w:rPr>
                <w:sz w:val="24"/>
              </w:rPr>
              <w:t>1.06.2018</w:t>
            </w:r>
          </w:p>
        </w:tc>
        <w:tc>
          <w:tcPr>
            <w:tcW w:w="2693" w:type="dxa"/>
            <w:shd w:val="clear" w:color="auto" w:fill="002060"/>
          </w:tcPr>
          <w:p w:rsidR="00EF40F5" w:rsidRPr="00315E6B" w:rsidRDefault="00EF40F5" w:rsidP="004F6264">
            <w:pPr>
              <w:jc w:val="center"/>
              <w:rPr>
                <w:sz w:val="24"/>
              </w:rPr>
            </w:pPr>
            <w:proofErr w:type="spellStart"/>
            <w:r w:rsidRPr="00315E6B">
              <w:rPr>
                <w:sz w:val="24"/>
              </w:rPr>
              <w:t>Tuesday</w:t>
            </w:r>
            <w:proofErr w:type="spellEnd"/>
            <w:r w:rsidR="00862419">
              <w:rPr>
                <w:sz w:val="24"/>
              </w:rPr>
              <w:t xml:space="preserve"> 12</w:t>
            </w:r>
            <w:r>
              <w:rPr>
                <w:sz w:val="24"/>
              </w:rPr>
              <w:t>.06.</w:t>
            </w:r>
            <w:r w:rsidR="008C5C8B">
              <w:rPr>
                <w:sz w:val="24"/>
              </w:rPr>
              <w:t>2018</w:t>
            </w:r>
          </w:p>
        </w:tc>
        <w:tc>
          <w:tcPr>
            <w:tcW w:w="2693" w:type="dxa"/>
            <w:shd w:val="clear" w:color="auto" w:fill="002060"/>
          </w:tcPr>
          <w:p w:rsidR="00EF40F5" w:rsidRPr="00315E6B" w:rsidRDefault="00EF40F5" w:rsidP="004F6264">
            <w:pPr>
              <w:jc w:val="center"/>
              <w:rPr>
                <w:sz w:val="24"/>
              </w:rPr>
            </w:pPr>
            <w:proofErr w:type="spellStart"/>
            <w:r w:rsidRPr="00315E6B">
              <w:rPr>
                <w:sz w:val="24"/>
              </w:rPr>
              <w:t>Wednesday</w:t>
            </w:r>
            <w:proofErr w:type="spellEnd"/>
            <w:r w:rsidR="00862419">
              <w:rPr>
                <w:sz w:val="24"/>
              </w:rPr>
              <w:t xml:space="preserve"> 13</w:t>
            </w:r>
            <w:r>
              <w:rPr>
                <w:sz w:val="24"/>
              </w:rPr>
              <w:t>.06.</w:t>
            </w:r>
            <w:r w:rsidR="008C5C8B">
              <w:rPr>
                <w:sz w:val="24"/>
              </w:rPr>
              <w:t>2018</w:t>
            </w:r>
          </w:p>
        </w:tc>
        <w:tc>
          <w:tcPr>
            <w:tcW w:w="2693" w:type="dxa"/>
            <w:shd w:val="clear" w:color="auto" w:fill="002060"/>
          </w:tcPr>
          <w:p w:rsidR="00EF40F5" w:rsidRPr="00315E6B" w:rsidRDefault="00EF40F5" w:rsidP="004F6264">
            <w:pPr>
              <w:jc w:val="center"/>
              <w:rPr>
                <w:sz w:val="24"/>
              </w:rPr>
            </w:pPr>
            <w:proofErr w:type="spellStart"/>
            <w:r w:rsidRPr="00315E6B">
              <w:rPr>
                <w:sz w:val="24"/>
              </w:rPr>
              <w:t>Thursday</w:t>
            </w:r>
            <w:proofErr w:type="spellEnd"/>
            <w:r w:rsidR="00862419">
              <w:rPr>
                <w:sz w:val="24"/>
              </w:rPr>
              <w:t xml:space="preserve"> 14</w:t>
            </w:r>
            <w:r>
              <w:rPr>
                <w:sz w:val="24"/>
              </w:rPr>
              <w:t>.06.</w:t>
            </w:r>
            <w:r w:rsidR="008C5C8B">
              <w:rPr>
                <w:sz w:val="24"/>
              </w:rPr>
              <w:t>2018</w:t>
            </w:r>
          </w:p>
        </w:tc>
        <w:tc>
          <w:tcPr>
            <w:tcW w:w="2552" w:type="dxa"/>
            <w:shd w:val="clear" w:color="auto" w:fill="002060"/>
          </w:tcPr>
          <w:p w:rsidR="00EF40F5" w:rsidRPr="00315E6B" w:rsidRDefault="00EF40F5" w:rsidP="004F6264">
            <w:pPr>
              <w:jc w:val="center"/>
              <w:rPr>
                <w:sz w:val="24"/>
              </w:rPr>
            </w:pPr>
            <w:r w:rsidRPr="00315E6B">
              <w:rPr>
                <w:sz w:val="24"/>
              </w:rPr>
              <w:t>Friday</w:t>
            </w:r>
            <w:r w:rsidR="00862419">
              <w:rPr>
                <w:sz w:val="24"/>
              </w:rPr>
              <w:t xml:space="preserve"> 15</w:t>
            </w:r>
            <w:r>
              <w:rPr>
                <w:sz w:val="24"/>
              </w:rPr>
              <w:t>.06.</w:t>
            </w:r>
            <w:r w:rsidR="008C5C8B">
              <w:rPr>
                <w:sz w:val="24"/>
              </w:rPr>
              <w:t>2018</w:t>
            </w:r>
          </w:p>
        </w:tc>
      </w:tr>
      <w:tr w:rsidR="00EF40F5" w:rsidRPr="006A0B33" w:rsidTr="004F6264">
        <w:tc>
          <w:tcPr>
            <w:tcW w:w="1668" w:type="dxa"/>
            <w:shd w:val="clear" w:color="auto" w:fill="BFBFBF" w:themeFill="background1" w:themeFillShade="BF"/>
          </w:tcPr>
          <w:p w:rsidR="00EF40F5" w:rsidRPr="003915D3" w:rsidRDefault="00EF40F5" w:rsidP="004F6264">
            <w:pPr>
              <w:rPr>
                <w:sz w:val="24"/>
                <w:lang w:val="en-US"/>
              </w:rPr>
            </w:pPr>
            <w:r>
              <w:rPr>
                <w:sz w:val="24"/>
                <w:lang w:val="en-US"/>
              </w:rPr>
              <w:t>Main Topic</w:t>
            </w:r>
          </w:p>
        </w:tc>
        <w:tc>
          <w:tcPr>
            <w:tcW w:w="2835" w:type="dxa"/>
            <w:shd w:val="clear" w:color="auto" w:fill="DBE5F1" w:themeFill="accent1" w:themeFillTint="33"/>
          </w:tcPr>
          <w:p w:rsidR="00EF40F5" w:rsidRPr="005819F4" w:rsidRDefault="00EF40F5" w:rsidP="004F6264">
            <w:pPr>
              <w:jc w:val="center"/>
              <w:rPr>
                <w:color w:val="FF0000"/>
                <w:sz w:val="24"/>
                <w:lang w:val="en-US" w:eastAsia="nb-NO"/>
              </w:rPr>
            </w:pPr>
            <w:r w:rsidRPr="005819F4">
              <w:rPr>
                <w:color w:val="FF0000"/>
                <w:sz w:val="24"/>
                <w:lang w:val="en-US" w:eastAsia="nb-NO"/>
              </w:rPr>
              <w:t>Concepts of health and disease</w:t>
            </w:r>
          </w:p>
        </w:tc>
        <w:tc>
          <w:tcPr>
            <w:tcW w:w="2693" w:type="dxa"/>
            <w:shd w:val="clear" w:color="auto" w:fill="EAF1DD" w:themeFill="accent3" w:themeFillTint="33"/>
          </w:tcPr>
          <w:p w:rsidR="00EF40F5" w:rsidRPr="005819F4" w:rsidRDefault="00EF40F5" w:rsidP="004F6264">
            <w:pPr>
              <w:jc w:val="center"/>
              <w:rPr>
                <w:color w:val="FF0000"/>
                <w:sz w:val="24"/>
                <w:lang w:val="en-US" w:eastAsia="nb-NO"/>
              </w:rPr>
            </w:pPr>
            <w:r w:rsidRPr="005819F4">
              <w:rPr>
                <w:color w:val="FF0000"/>
                <w:sz w:val="24"/>
                <w:lang w:val="en-US" w:eastAsia="nb-NO"/>
              </w:rPr>
              <w:t>Perspectives on health and disease</w:t>
            </w:r>
          </w:p>
        </w:tc>
        <w:tc>
          <w:tcPr>
            <w:tcW w:w="2693" w:type="dxa"/>
            <w:shd w:val="clear" w:color="auto" w:fill="E5DFEC" w:themeFill="accent4" w:themeFillTint="33"/>
          </w:tcPr>
          <w:p w:rsidR="00EF40F5" w:rsidRPr="005819F4" w:rsidRDefault="00EF40F5" w:rsidP="004F6264">
            <w:pPr>
              <w:jc w:val="center"/>
              <w:rPr>
                <w:color w:val="FF0000"/>
                <w:sz w:val="24"/>
                <w:lang w:val="en-US" w:eastAsia="nb-NO"/>
              </w:rPr>
            </w:pPr>
            <w:r w:rsidRPr="005819F4">
              <w:rPr>
                <w:color w:val="FF0000"/>
                <w:sz w:val="24"/>
                <w:lang w:val="en-US" w:eastAsia="nb-NO"/>
              </w:rPr>
              <w:t>Perspectives on health and disease (broad)</w:t>
            </w:r>
          </w:p>
        </w:tc>
        <w:tc>
          <w:tcPr>
            <w:tcW w:w="2693" w:type="dxa"/>
            <w:shd w:val="clear" w:color="auto" w:fill="DAEEF3" w:themeFill="accent5" w:themeFillTint="33"/>
          </w:tcPr>
          <w:p w:rsidR="00EF40F5" w:rsidRPr="005819F4" w:rsidRDefault="00EF40F5" w:rsidP="004F6264">
            <w:pPr>
              <w:jc w:val="center"/>
              <w:rPr>
                <w:color w:val="FF0000"/>
                <w:sz w:val="24"/>
                <w:lang w:val="en-US" w:eastAsia="nb-NO"/>
              </w:rPr>
            </w:pPr>
            <w:r w:rsidRPr="005819F4">
              <w:rPr>
                <w:color w:val="FF0000"/>
                <w:sz w:val="24"/>
                <w:lang w:val="en-US" w:eastAsia="nb-NO"/>
              </w:rPr>
              <w:t>Power and knowledge in  health and disease</w:t>
            </w:r>
          </w:p>
        </w:tc>
        <w:tc>
          <w:tcPr>
            <w:tcW w:w="2552" w:type="dxa"/>
            <w:shd w:val="clear" w:color="auto" w:fill="FDE9D9" w:themeFill="accent6" w:themeFillTint="33"/>
          </w:tcPr>
          <w:p w:rsidR="00EF40F5" w:rsidRPr="005819F4" w:rsidRDefault="00EF40F5" w:rsidP="004F6264">
            <w:pPr>
              <w:jc w:val="center"/>
              <w:rPr>
                <w:color w:val="FF0000"/>
                <w:sz w:val="24"/>
                <w:lang w:val="en"/>
              </w:rPr>
            </w:pPr>
            <w:r w:rsidRPr="005819F4">
              <w:rPr>
                <w:color w:val="FF0000"/>
                <w:sz w:val="24"/>
                <w:lang w:val="en"/>
              </w:rPr>
              <w:t>Equity and justice in health and disease</w:t>
            </w:r>
          </w:p>
        </w:tc>
      </w:tr>
      <w:tr w:rsidR="00EF40F5" w:rsidRPr="006A0B33" w:rsidTr="004F6264">
        <w:tc>
          <w:tcPr>
            <w:tcW w:w="1668" w:type="dxa"/>
            <w:shd w:val="clear" w:color="auto" w:fill="808080" w:themeFill="background1" w:themeFillShade="80"/>
          </w:tcPr>
          <w:p w:rsidR="00EF40F5" w:rsidRPr="00E6253E" w:rsidRDefault="00EF40F5" w:rsidP="004F6264">
            <w:pPr>
              <w:rPr>
                <w:color w:val="FFFFFF" w:themeColor="background1"/>
                <w:sz w:val="24"/>
              </w:rPr>
            </w:pPr>
            <w:r w:rsidRPr="00E6253E">
              <w:rPr>
                <w:color w:val="FFFFFF" w:themeColor="background1"/>
                <w:sz w:val="24"/>
              </w:rPr>
              <w:t>09.00 – 09.45</w:t>
            </w:r>
          </w:p>
        </w:tc>
        <w:tc>
          <w:tcPr>
            <w:tcW w:w="2835" w:type="dxa"/>
            <w:shd w:val="clear" w:color="auto" w:fill="FFC000"/>
          </w:tcPr>
          <w:p w:rsidR="00EF40F5" w:rsidRPr="00315E6B" w:rsidRDefault="00EF40F5" w:rsidP="004F6264">
            <w:pPr>
              <w:rPr>
                <w:sz w:val="24"/>
              </w:rPr>
            </w:pPr>
            <w:proofErr w:type="spellStart"/>
            <w:r w:rsidRPr="00315E6B">
              <w:rPr>
                <w:sz w:val="24"/>
              </w:rPr>
              <w:t>Introduction</w:t>
            </w:r>
            <w:proofErr w:type="spellEnd"/>
          </w:p>
        </w:tc>
        <w:tc>
          <w:tcPr>
            <w:tcW w:w="10631" w:type="dxa"/>
            <w:gridSpan w:val="4"/>
            <w:shd w:val="clear" w:color="auto" w:fill="FFC000"/>
          </w:tcPr>
          <w:p w:rsidR="00EF40F5" w:rsidRPr="00315E6B" w:rsidRDefault="00EF40F5" w:rsidP="004F6264">
            <w:pPr>
              <w:rPr>
                <w:sz w:val="24"/>
                <w:lang w:val="en-US"/>
              </w:rPr>
            </w:pPr>
            <w:r w:rsidRPr="00315E6B">
              <w:rPr>
                <w:sz w:val="24"/>
                <w:lang w:val="en-US" w:eastAsia="nb-NO"/>
              </w:rPr>
              <w:t>Presentation and discussion of reflection notes</w:t>
            </w:r>
          </w:p>
        </w:tc>
      </w:tr>
      <w:tr w:rsidR="00EF40F5" w:rsidRPr="0090631B" w:rsidTr="004F6264">
        <w:tc>
          <w:tcPr>
            <w:tcW w:w="1668" w:type="dxa"/>
            <w:shd w:val="clear" w:color="auto" w:fill="808080" w:themeFill="background1" w:themeFillShade="80"/>
          </w:tcPr>
          <w:p w:rsidR="00EF40F5" w:rsidRPr="00E6253E" w:rsidRDefault="00EF40F5" w:rsidP="004F6264">
            <w:pPr>
              <w:rPr>
                <w:color w:val="FFFFFF" w:themeColor="background1"/>
                <w:sz w:val="24"/>
              </w:rPr>
            </w:pPr>
            <w:r w:rsidRPr="00E6253E">
              <w:rPr>
                <w:color w:val="FFFFFF" w:themeColor="background1"/>
                <w:sz w:val="24"/>
              </w:rPr>
              <w:t>10.00 – 10.45</w:t>
            </w:r>
          </w:p>
        </w:tc>
        <w:tc>
          <w:tcPr>
            <w:tcW w:w="2835" w:type="dxa"/>
            <w:shd w:val="clear" w:color="auto" w:fill="DBE5F1" w:themeFill="accent1" w:themeFillTint="33"/>
          </w:tcPr>
          <w:p w:rsidR="00EF40F5" w:rsidRPr="00DB08DB" w:rsidRDefault="00EF40F5" w:rsidP="004F6264">
            <w:pPr>
              <w:rPr>
                <w:i/>
                <w:lang w:val="en-US" w:eastAsia="nb-NO"/>
              </w:rPr>
            </w:pPr>
            <w:r>
              <w:rPr>
                <w:lang w:val="en-US" w:eastAsia="nb-NO"/>
              </w:rPr>
              <w:t xml:space="preserve">What is health and what is disease? </w:t>
            </w:r>
            <w:r>
              <w:rPr>
                <w:i/>
                <w:lang w:val="en-US" w:eastAsia="nb-NO"/>
              </w:rPr>
              <w:t>Bjørn Hofmann</w:t>
            </w:r>
          </w:p>
        </w:tc>
        <w:tc>
          <w:tcPr>
            <w:tcW w:w="2693" w:type="dxa"/>
            <w:shd w:val="clear" w:color="auto" w:fill="EAF1DD" w:themeFill="accent3" w:themeFillTint="33"/>
          </w:tcPr>
          <w:p w:rsidR="00EF40F5" w:rsidRDefault="00EF40F5" w:rsidP="004F6264">
            <w:pPr>
              <w:rPr>
                <w:lang w:val="en-US" w:eastAsia="nb-NO"/>
              </w:rPr>
            </w:pPr>
            <w:r>
              <w:rPr>
                <w:lang w:val="en-US" w:eastAsia="nb-NO"/>
              </w:rPr>
              <w:t xml:space="preserve">Perspectives on disease: Disease, Illness, Sickness. </w:t>
            </w:r>
          </w:p>
          <w:p w:rsidR="00EF40F5" w:rsidRPr="001A4ED9" w:rsidRDefault="00EF40F5" w:rsidP="004F6264">
            <w:pPr>
              <w:rPr>
                <w:i/>
                <w:lang w:val="en-US" w:eastAsia="nb-NO"/>
              </w:rPr>
            </w:pPr>
            <w:r>
              <w:rPr>
                <w:i/>
                <w:lang w:val="en-US" w:eastAsia="nb-NO"/>
              </w:rPr>
              <w:t>Bjørn Hofmann</w:t>
            </w:r>
          </w:p>
        </w:tc>
        <w:tc>
          <w:tcPr>
            <w:tcW w:w="2693" w:type="dxa"/>
            <w:shd w:val="clear" w:color="auto" w:fill="E5DFEC" w:themeFill="accent4" w:themeFillTint="33"/>
          </w:tcPr>
          <w:p w:rsidR="00EF40F5" w:rsidRDefault="00EF40F5" w:rsidP="004F6264">
            <w:pPr>
              <w:rPr>
                <w:lang w:val="en-US" w:eastAsia="nb-NO"/>
              </w:rPr>
            </w:pPr>
            <w:r w:rsidRPr="00752A03">
              <w:rPr>
                <w:lang w:val="en-US" w:eastAsia="nb-NO"/>
              </w:rPr>
              <w:t>Gendered perspectives on health and disease</w:t>
            </w:r>
            <w:r>
              <w:rPr>
                <w:lang w:val="en-US" w:eastAsia="nb-NO"/>
              </w:rPr>
              <w:t xml:space="preserve">. </w:t>
            </w:r>
          </w:p>
          <w:p w:rsidR="00EF40F5" w:rsidRPr="00BE3C16" w:rsidRDefault="00FE5304" w:rsidP="004F6264">
            <w:pPr>
              <w:rPr>
                <w:i/>
                <w:lang w:val="en-US" w:eastAsia="nb-NO"/>
              </w:rPr>
            </w:pPr>
            <w:r>
              <w:rPr>
                <w:i/>
                <w:lang w:val="en-US" w:eastAsia="nb-NO"/>
              </w:rPr>
              <w:t>Kari Nyheim Solbræ</w:t>
            </w:r>
            <w:r w:rsidR="00EF40F5">
              <w:rPr>
                <w:i/>
                <w:lang w:val="en-US" w:eastAsia="nb-NO"/>
              </w:rPr>
              <w:t>kke</w:t>
            </w:r>
          </w:p>
        </w:tc>
        <w:tc>
          <w:tcPr>
            <w:tcW w:w="2693" w:type="dxa"/>
            <w:shd w:val="clear" w:color="auto" w:fill="DAEEF3" w:themeFill="accent5" w:themeFillTint="33"/>
          </w:tcPr>
          <w:p w:rsidR="00EF40F5" w:rsidRDefault="00821C1E" w:rsidP="004F6264">
            <w:pPr>
              <w:rPr>
                <w:lang w:val="en-US" w:eastAsia="nb-NO"/>
              </w:rPr>
            </w:pPr>
            <w:r>
              <w:rPr>
                <w:lang w:val="en-US" w:eastAsia="nb-NO"/>
              </w:rPr>
              <w:t>Knowledge and power in health and disease</w:t>
            </w:r>
            <w:r w:rsidR="00930B2F">
              <w:rPr>
                <w:lang w:val="en-US" w:eastAsia="nb-NO"/>
              </w:rPr>
              <w:t>: Evidence</w:t>
            </w:r>
            <w:r w:rsidR="00930B2F" w:rsidRPr="00930B2F">
              <w:rPr>
                <w:lang w:val="en-US" w:eastAsia="nb-NO"/>
              </w:rPr>
              <w:t>, interpretation, and interests</w:t>
            </w:r>
            <w:r w:rsidR="00930B2F">
              <w:rPr>
                <w:lang w:val="en-US" w:eastAsia="nb-NO"/>
              </w:rPr>
              <w:t xml:space="preserve"> </w:t>
            </w:r>
          </w:p>
          <w:p w:rsidR="00821C1E" w:rsidRPr="00821C1E" w:rsidRDefault="00821C1E" w:rsidP="004F6264">
            <w:pPr>
              <w:rPr>
                <w:i/>
                <w:lang w:val="en-US" w:eastAsia="nb-NO"/>
              </w:rPr>
            </w:pPr>
            <w:r>
              <w:rPr>
                <w:i/>
                <w:lang w:val="en-US" w:eastAsia="nb-NO"/>
              </w:rPr>
              <w:t>Eivind Engebretsen</w:t>
            </w:r>
          </w:p>
        </w:tc>
        <w:tc>
          <w:tcPr>
            <w:tcW w:w="2552" w:type="dxa"/>
            <w:shd w:val="clear" w:color="auto" w:fill="FDE9D9" w:themeFill="accent6" w:themeFillTint="33"/>
          </w:tcPr>
          <w:p w:rsidR="00E47D96" w:rsidRDefault="00E47D96" w:rsidP="00E47D96">
            <w:pPr>
              <w:rPr>
                <w:lang w:val="en-US" w:eastAsia="nb-NO"/>
              </w:rPr>
            </w:pPr>
            <w:r>
              <w:rPr>
                <w:lang w:val="en-US" w:eastAsia="nb-NO"/>
              </w:rPr>
              <w:t xml:space="preserve">Health, disease, and priority setting. </w:t>
            </w:r>
          </w:p>
          <w:p w:rsidR="00EF40F5" w:rsidRPr="00752A03" w:rsidRDefault="00E47D96" w:rsidP="00E47D96">
            <w:pPr>
              <w:rPr>
                <w:lang w:val="en-US" w:eastAsia="nb-NO"/>
              </w:rPr>
            </w:pPr>
            <w:r w:rsidRPr="007224C6">
              <w:rPr>
                <w:i/>
                <w:lang w:val="en-US" w:eastAsia="nb-NO"/>
              </w:rPr>
              <w:t>Anne Kari Tolo Heggestad</w:t>
            </w:r>
            <w:r>
              <w:rPr>
                <w:lang w:val="en-US" w:eastAsia="nb-NO"/>
              </w:rPr>
              <w:t xml:space="preserve"> </w:t>
            </w:r>
          </w:p>
        </w:tc>
      </w:tr>
      <w:tr w:rsidR="00821C1E" w:rsidRPr="0090631B" w:rsidTr="004F6264">
        <w:tc>
          <w:tcPr>
            <w:tcW w:w="1668" w:type="dxa"/>
            <w:shd w:val="clear" w:color="auto" w:fill="808080" w:themeFill="background1" w:themeFillShade="80"/>
          </w:tcPr>
          <w:p w:rsidR="00821C1E" w:rsidRPr="006165BA" w:rsidRDefault="00821C1E" w:rsidP="004F6264">
            <w:pPr>
              <w:rPr>
                <w:color w:val="FFFFFF" w:themeColor="background1"/>
                <w:sz w:val="24"/>
                <w:lang w:val="en-US"/>
              </w:rPr>
            </w:pPr>
            <w:r w:rsidRPr="006165BA">
              <w:rPr>
                <w:color w:val="FFFFFF" w:themeColor="background1"/>
                <w:sz w:val="24"/>
                <w:lang w:val="en-US"/>
              </w:rPr>
              <w:t>11.00 – 11.45</w:t>
            </w:r>
          </w:p>
        </w:tc>
        <w:tc>
          <w:tcPr>
            <w:tcW w:w="2835" w:type="dxa"/>
            <w:shd w:val="clear" w:color="auto" w:fill="DBE5F1" w:themeFill="accent1" w:themeFillTint="33"/>
          </w:tcPr>
          <w:p w:rsidR="00821C1E" w:rsidRDefault="00821C1E" w:rsidP="004F6264">
            <w:pPr>
              <w:rPr>
                <w:lang w:val="en-US" w:eastAsia="nb-NO"/>
              </w:rPr>
            </w:pPr>
            <w:r>
              <w:rPr>
                <w:lang w:val="en-US" w:eastAsia="nb-NO"/>
              </w:rPr>
              <w:t>Concepts, definitions, and theories</w:t>
            </w:r>
          </w:p>
          <w:p w:rsidR="00821C1E" w:rsidRDefault="00821C1E" w:rsidP="004F6264">
            <w:pPr>
              <w:rPr>
                <w:lang w:val="en-US" w:eastAsia="nb-NO"/>
              </w:rPr>
            </w:pPr>
            <w:r>
              <w:rPr>
                <w:i/>
                <w:lang w:val="en-US" w:eastAsia="nb-NO"/>
              </w:rPr>
              <w:t>Bjørn Hofmann</w:t>
            </w:r>
          </w:p>
        </w:tc>
        <w:tc>
          <w:tcPr>
            <w:tcW w:w="2693" w:type="dxa"/>
            <w:shd w:val="clear" w:color="auto" w:fill="EAF1DD" w:themeFill="accent3" w:themeFillTint="33"/>
          </w:tcPr>
          <w:p w:rsidR="00821C1E" w:rsidRDefault="00821C1E" w:rsidP="004F6264">
            <w:pPr>
              <w:rPr>
                <w:lang w:val="en-US" w:eastAsia="nb-NO"/>
              </w:rPr>
            </w:pPr>
            <w:r>
              <w:rPr>
                <w:lang w:val="en-US" w:eastAsia="nb-NO"/>
              </w:rPr>
              <w:t>Wellbeing and suffering. Experiencing health and disease (phenomenology)</w:t>
            </w:r>
          </w:p>
          <w:p w:rsidR="00821C1E" w:rsidRPr="001A4ED9" w:rsidRDefault="00821C1E" w:rsidP="004F6264">
            <w:pPr>
              <w:rPr>
                <w:i/>
                <w:lang w:val="en-US" w:eastAsia="nb-NO"/>
              </w:rPr>
            </w:pPr>
            <w:r w:rsidRPr="001A4ED9">
              <w:rPr>
                <w:i/>
                <w:lang w:val="en-US" w:eastAsia="nb-NO"/>
              </w:rPr>
              <w:t>Lisbeth Thoresen</w:t>
            </w:r>
          </w:p>
        </w:tc>
        <w:tc>
          <w:tcPr>
            <w:tcW w:w="2693" w:type="dxa"/>
            <w:shd w:val="clear" w:color="auto" w:fill="E5DFEC" w:themeFill="accent4" w:themeFillTint="33"/>
          </w:tcPr>
          <w:p w:rsidR="00E47D96" w:rsidRDefault="00E47D96" w:rsidP="00E47D96">
            <w:pPr>
              <w:rPr>
                <w:lang w:val="en-US" w:eastAsia="nb-NO"/>
              </w:rPr>
            </w:pPr>
            <w:r>
              <w:rPr>
                <w:lang w:val="en-US" w:eastAsia="nb-NO"/>
              </w:rPr>
              <w:t>Historical perspectives on health and disease.</w:t>
            </w:r>
          </w:p>
          <w:p w:rsidR="00821C1E" w:rsidRPr="007224C6" w:rsidRDefault="00751908" w:rsidP="004F6264">
            <w:pPr>
              <w:rPr>
                <w:i/>
                <w:lang w:val="en-US" w:eastAsia="nb-NO"/>
              </w:rPr>
            </w:pPr>
            <w:r w:rsidRPr="00751908">
              <w:rPr>
                <w:i/>
                <w:lang w:val="en-US" w:eastAsia="nb-NO"/>
              </w:rPr>
              <w:t xml:space="preserve">Christoph Gradmann </w:t>
            </w:r>
          </w:p>
        </w:tc>
        <w:tc>
          <w:tcPr>
            <w:tcW w:w="2693" w:type="dxa"/>
            <w:shd w:val="clear" w:color="auto" w:fill="DAEEF3" w:themeFill="accent5" w:themeFillTint="33"/>
          </w:tcPr>
          <w:p w:rsidR="00821C1E" w:rsidRDefault="00821C1E" w:rsidP="003C4E81">
            <w:pPr>
              <w:rPr>
                <w:lang w:val="en-US" w:eastAsia="nb-NO"/>
              </w:rPr>
            </w:pPr>
            <w:r w:rsidRPr="00752A03">
              <w:rPr>
                <w:lang w:val="en-US" w:eastAsia="nb-NO"/>
              </w:rPr>
              <w:t>Critical perspectives on diagnoses and diagnostic systems</w:t>
            </w:r>
            <w:r>
              <w:rPr>
                <w:lang w:val="en-US" w:eastAsia="nb-NO"/>
              </w:rPr>
              <w:t xml:space="preserve">. </w:t>
            </w:r>
            <w:r w:rsidRPr="006165BA">
              <w:rPr>
                <w:i/>
                <w:lang w:val="en-US" w:eastAsia="nb-NO"/>
              </w:rPr>
              <w:t>Bjørn Hofmann</w:t>
            </w:r>
          </w:p>
        </w:tc>
        <w:tc>
          <w:tcPr>
            <w:tcW w:w="2552" w:type="dxa"/>
            <w:shd w:val="clear" w:color="auto" w:fill="FDE9D9" w:themeFill="accent6" w:themeFillTint="33"/>
          </w:tcPr>
          <w:p w:rsidR="00821C1E" w:rsidRDefault="00821C1E" w:rsidP="004F6264">
            <w:pPr>
              <w:rPr>
                <w:lang w:val="en-US" w:eastAsia="nb-NO"/>
              </w:rPr>
            </w:pPr>
            <w:r>
              <w:rPr>
                <w:lang w:val="en-US" w:eastAsia="nb-NO"/>
              </w:rPr>
              <w:t>Inequalities in health and disease. Burden of disease. Global health and health governance.</w:t>
            </w:r>
          </w:p>
          <w:p w:rsidR="00821C1E" w:rsidRPr="00135AE3" w:rsidRDefault="00821C1E" w:rsidP="004F6264">
            <w:pPr>
              <w:rPr>
                <w:i/>
                <w:lang w:val="en-US" w:eastAsia="nb-NO"/>
              </w:rPr>
            </w:pPr>
            <w:r>
              <w:rPr>
                <w:i/>
                <w:lang w:val="en"/>
              </w:rPr>
              <w:t>Jeanette Magnus</w:t>
            </w:r>
            <w:r w:rsidRPr="00135AE3">
              <w:rPr>
                <w:i/>
                <w:lang w:val="en"/>
              </w:rPr>
              <w:t xml:space="preserve"> </w:t>
            </w:r>
          </w:p>
        </w:tc>
      </w:tr>
      <w:tr w:rsidR="00821C1E" w:rsidRPr="00135AE3" w:rsidTr="004F6264">
        <w:tc>
          <w:tcPr>
            <w:tcW w:w="1668" w:type="dxa"/>
            <w:shd w:val="clear" w:color="auto" w:fill="808080" w:themeFill="background1" w:themeFillShade="80"/>
          </w:tcPr>
          <w:p w:rsidR="00821C1E" w:rsidRPr="00135AE3" w:rsidRDefault="00821C1E" w:rsidP="004F6264">
            <w:pPr>
              <w:rPr>
                <w:color w:val="FFFFFF" w:themeColor="background1"/>
                <w:sz w:val="24"/>
                <w:lang w:val="en-US"/>
              </w:rPr>
            </w:pPr>
            <w:r w:rsidRPr="00135AE3">
              <w:rPr>
                <w:color w:val="FFFFFF" w:themeColor="background1"/>
                <w:sz w:val="24"/>
                <w:lang w:val="en-US"/>
              </w:rPr>
              <w:t>11.45 – 12.30</w:t>
            </w:r>
          </w:p>
        </w:tc>
        <w:tc>
          <w:tcPr>
            <w:tcW w:w="13466" w:type="dxa"/>
            <w:gridSpan w:val="5"/>
            <w:shd w:val="clear" w:color="auto" w:fill="92D050"/>
          </w:tcPr>
          <w:p w:rsidR="00821C1E" w:rsidRPr="00E6253E" w:rsidRDefault="00821C1E" w:rsidP="004F6264">
            <w:pPr>
              <w:rPr>
                <w:i/>
                <w:lang w:val="en-US" w:eastAsia="nb-NO"/>
              </w:rPr>
            </w:pPr>
            <w:r w:rsidRPr="00E6253E">
              <w:rPr>
                <w:i/>
                <w:lang w:val="en-US" w:eastAsia="nb-NO"/>
              </w:rPr>
              <w:t>Lunch</w:t>
            </w:r>
          </w:p>
        </w:tc>
      </w:tr>
      <w:tr w:rsidR="00821C1E" w:rsidRPr="0090631B" w:rsidTr="004F6264">
        <w:tc>
          <w:tcPr>
            <w:tcW w:w="1668" w:type="dxa"/>
            <w:shd w:val="clear" w:color="auto" w:fill="808080" w:themeFill="background1" w:themeFillShade="80"/>
          </w:tcPr>
          <w:p w:rsidR="00821C1E" w:rsidRPr="00135AE3" w:rsidRDefault="00821C1E" w:rsidP="004F6264">
            <w:pPr>
              <w:rPr>
                <w:color w:val="FFFFFF" w:themeColor="background1"/>
                <w:sz w:val="24"/>
                <w:lang w:val="en-US"/>
              </w:rPr>
            </w:pPr>
            <w:r w:rsidRPr="00135AE3">
              <w:rPr>
                <w:color w:val="FFFFFF" w:themeColor="background1"/>
                <w:sz w:val="24"/>
                <w:lang w:val="en-US"/>
              </w:rPr>
              <w:t>12.30 – 13.15</w:t>
            </w:r>
          </w:p>
        </w:tc>
        <w:tc>
          <w:tcPr>
            <w:tcW w:w="2835" w:type="dxa"/>
            <w:shd w:val="clear" w:color="auto" w:fill="DBE5F1" w:themeFill="accent1" w:themeFillTint="33"/>
          </w:tcPr>
          <w:p w:rsidR="00821C1E" w:rsidRDefault="00821C1E" w:rsidP="004F6264">
            <w:pPr>
              <w:rPr>
                <w:lang w:val="en-US" w:eastAsia="nb-NO"/>
              </w:rPr>
            </w:pPr>
            <w:r>
              <w:rPr>
                <w:lang w:val="en-US" w:eastAsia="nb-NO"/>
              </w:rPr>
              <w:t>What is the relationship between health and disease?</w:t>
            </w:r>
          </w:p>
          <w:p w:rsidR="00821C1E" w:rsidRDefault="00821C1E" w:rsidP="004F6264">
            <w:pPr>
              <w:rPr>
                <w:lang w:val="en-US" w:eastAsia="nb-NO"/>
              </w:rPr>
            </w:pPr>
            <w:r>
              <w:rPr>
                <w:i/>
                <w:lang w:val="en-US" w:eastAsia="nb-NO"/>
              </w:rPr>
              <w:t>Bjørn Hofmann</w:t>
            </w:r>
          </w:p>
        </w:tc>
        <w:tc>
          <w:tcPr>
            <w:tcW w:w="2693" w:type="dxa"/>
            <w:shd w:val="clear" w:color="auto" w:fill="EAF1DD" w:themeFill="accent3" w:themeFillTint="33"/>
          </w:tcPr>
          <w:p w:rsidR="00821C1E" w:rsidRDefault="00821C1E" w:rsidP="004F6264">
            <w:pPr>
              <w:rPr>
                <w:lang w:val="en-US" w:eastAsia="nb-NO"/>
              </w:rPr>
            </w:pPr>
            <w:r>
              <w:rPr>
                <w:lang w:val="en-US" w:eastAsia="nb-NO"/>
              </w:rPr>
              <w:t>Valuing health and disease (ethics).</w:t>
            </w:r>
          </w:p>
          <w:p w:rsidR="00821C1E" w:rsidRPr="001A4ED9" w:rsidRDefault="00821C1E" w:rsidP="004F6264">
            <w:pPr>
              <w:rPr>
                <w:i/>
                <w:lang w:val="en-US" w:eastAsia="nb-NO"/>
              </w:rPr>
            </w:pPr>
            <w:r>
              <w:rPr>
                <w:i/>
                <w:lang w:val="en-US" w:eastAsia="nb-NO"/>
              </w:rPr>
              <w:t>Bjørn Hofmann</w:t>
            </w:r>
          </w:p>
        </w:tc>
        <w:tc>
          <w:tcPr>
            <w:tcW w:w="2693" w:type="dxa"/>
            <w:shd w:val="clear" w:color="auto" w:fill="E5DFEC" w:themeFill="accent4" w:themeFillTint="33"/>
          </w:tcPr>
          <w:p w:rsidR="00D538DB" w:rsidRDefault="00D538DB" w:rsidP="00D538DB">
            <w:pPr>
              <w:rPr>
                <w:lang w:val="en-US" w:eastAsia="nb-NO"/>
              </w:rPr>
            </w:pPr>
            <w:r>
              <w:rPr>
                <w:lang w:val="en-US" w:eastAsia="nb-NO"/>
              </w:rPr>
              <w:t xml:space="preserve">Health, disease, </w:t>
            </w:r>
            <w:proofErr w:type="spellStart"/>
            <w:r>
              <w:rPr>
                <w:lang w:val="en-US" w:eastAsia="nb-NO"/>
              </w:rPr>
              <w:t>dys</w:t>
            </w:r>
            <w:proofErr w:type="spellEnd"/>
            <w:r>
              <w:rPr>
                <w:lang w:val="en-US" w:eastAsia="nb-NO"/>
              </w:rPr>
              <w:t>-function, disability in law.</w:t>
            </w:r>
          </w:p>
          <w:p w:rsidR="00D538DB" w:rsidRPr="007224C6" w:rsidRDefault="00D538DB" w:rsidP="00D538DB">
            <w:pPr>
              <w:rPr>
                <w:i/>
                <w:lang w:val="en-US" w:eastAsia="nb-NO"/>
              </w:rPr>
            </w:pPr>
            <w:r>
              <w:rPr>
                <w:i/>
                <w:lang w:val="en-US" w:eastAsia="nb-NO"/>
              </w:rPr>
              <w:t>Gunnar Tellnes</w:t>
            </w:r>
            <w:r>
              <w:rPr>
                <w:lang w:val="en-US" w:eastAsia="nb-NO"/>
              </w:rPr>
              <w:t xml:space="preserve"> </w:t>
            </w:r>
          </w:p>
          <w:p w:rsidR="00821C1E" w:rsidRPr="007224C6" w:rsidRDefault="00821C1E" w:rsidP="004F6264">
            <w:pPr>
              <w:rPr>
                <w:i/>
                <w:lang w:val="en-US" w:eastAsia="nb-NO"/>
              </w:rPr>
            </w:pPr>
          </w:p>
        </w:tc>
        <w:tc>
          <w:tcPr>
            <w:tcW w:w="2693" w:type="dxa"/>
            <w:shd w:val="clear" w:color="auto" w:fill="DAEEF3" w:themeFill="accent5" w:themeFillTint="33"/>
          </w:tcPr>
          <w:p w:rsidR="00821C1E" w:rsidRDefault="00821C1E" w:rsidP="004F6264">
            <w:pPr>
              <w:rPr>
                <w:lang w:val="en-US" w:eastAsia="nb-NO"/>
              </w:rPr>
            </w:pPr>
            <w:r>
              <w:rPr>
                <w:lang w:val="en-US" w:eastAsia="nb-NO"/>
              </w:rPr>
              <w:t xml:space="preserve">Constricting health and expanding disease: medicalization, over-diagnosis, </w:t>
            </w:r>
            <w:proofErr w:type="gramStart"/>
            <w:r>
              <w:rPr>
                <w:lang w:val="en-US" w:eastAsia="nb-NO"/>
              </w:rPr>
              <w:t>overtreatment</w:t>
            </w:r>
            <w:proofErr w:type="gramEnd"/>
            <w:r>
              <w:rPr>
                <w:lang w:val="en-US" w:eastAsia="nb-NO"/>
              </w:rPr>
              <w:t xml:space="preserve">. </w:t>
            </w:r>
          </w:p>
          <w:p w:rsidR="00821C1E" w:rsidRDefault="00821C1E" w:rsidP="004F6264">
            <w:pPr>
              <w:rPr>
                <w:lang w:val="en-US" w:eastAsia="nb-NO"/>
              </w:rPr>
            </w:pPr>
            <w:r w:rsidRPr="006165BA">
              <w:rPr>
                <w:i/>
                <w:lang w:val="en-US" w:eastAsia="nb-NO"/>
              </w:rPr>
              <w:t>Bjørn Hofmann</w:t>
            </w:r>
          </w:p>
        </w:tc>
        <w:tc>
          <w:tcPr>
            <w:tcW w:w="2552" w:type="dxa"/>
            <w:shd w:val="clear" w:color="auto" w:fill="FDE9D9" w:themeFill="accent6" w:themeFillTint="33"/>
          </w:tcPr>
          <w:p w:rsidR="00821C1E" w:rsidRDefault="00821C1E" w:rsidP="004F6264">
            <w:pPr>
              <w:rPr>
                <w:lang w:val="en"/>
              </w:rPr>
            </w:pPr>
            <w:r>
              <w:rPr>
                <w:lang w:val="en"/>
              </w:rPr>
              <w:t>Minority perspectives on health and disease</w:t>
            </w:r>
          </w:p>
          <w:p w:rsidR="00821C1E" w:rsidRPr="00135AE3" w:rsidRDefault="00821C1E" w:rsidP="004F6264">
            <w:pPr>
              <w:rPr>
                <w:i/>
                <w:lang w:val="en-US" w:eastAsia="nb-NO"/>
              </w:rPr>
            </w:pPr>
            <w:r w:rsidRPr="00135AE3">
              <w:rPr>
                <w:i/>
                <w:lang w:val="en"/>
              </w:rPr>
              <w:t>Jeanette Magnus</w:t>
            </w:r>
          </w:p>
        </w:tc>
      </w:tr>
      <w:tr w:rsidR="00821C1E" w:rsidRPr="006A0B33" w:rsidTr="004F6264">
        <w:tc>
          <w:tcPr>
            <w:tcW w:w="1668" w:type="dxa"/>
            <w:shd w:val="clear" w:color="auto" w:fill="808080" w:themeFill="background1" w:themeFillShade="80"/>
          </w:tcPr>
          <w:p w:rsidR="00821C1E" w:rsidRPr="006165BA" w:rsidRDefault="00821C1E" w:rsidP="004F6264">
            <w:pPr>
              <w:rPr>
                <w:color w:val="FFFFFF" w:themeColor="background1"/>
                <w:sz w:val="24"/>
                <w:lang w:val="en-US"/>
              </w:rPr>
            </w:pPr>
            <w:r w:rsidRPr="006165BA">
              <w:rPr>
                <w:color w:val="FFFFFF" w:themeColor="background1"/>
                <w:sz w:val="24"/>
                <w:lang w:val="en-US"/>
              </w:rPr>
              <w:t>13.30 – 14.15</w:t>
            </w:r>
          </w:p>
        </w:tc>
        <w:tc>
          <w:tcPr>
            <w:tcW w:w="2835" w:type="dxa"/>
            <w:shd w:val="clear" w:color="auto" w:fill="DBE5F1" w:themeFill="accent1" w:themeFillTint="33"/>
          </w:tcPr>
          <w:p w:rsidR="00821C1E" w:rsidRDefault="00821C1E" w:rsidP="004F6264">
            <w:pPr>
              <w:rPr>
                <w:lang w:val="en-US" w:eastAsia="nb-NO"/>
              </w:rPr>
            </w:pPr>
            <w:r>
              <w:rPr>
                <w:lang w:val="en-US" w:eastAsia="nb-NO"/>
              </w:rPr>
              <w:t xml:space="preserve">Health, disease, and other health concepts, such as disability, injuries, handicap, impairment. </w:t>
            </w:r>
          </w:p>
          <w:p w:rsidR="00821C1E" w:rsidRPr="00DB08DB" w:rsidRDefault="00821C1E" w:rsidP="004F6264">
            <w:pPr>
              <w:rPr>
                <w:i/>
                <w:lang w:val="en-US" w:eastAsia="nb-NO"/>
              </w:rPr>
            </w:pPr>
            <w:r>
              <w:rPr>
                <w:i/>
                <w:lang w:val="en-US" w:eastAsia="nb-NO"/>
              </w:rPr>
              <w:t>Jan Grue</w:t>
            </w:r>
          </w:p>
        </w:tc>
        <w:tc>
          <w:tcPr>
            <w:tcW w:w="2693" w:type="dxa"/>
            <w:shd w:val="clear" w:color="auto" w:fill="EAF1DD" w:themeFill="accent3" w:themeFillTint="33"/>
          </w:tcPr>
          <w:p w:rsidR="00821C1E" w:rsidRDefault="00821C1E" w:rsidP="004F6264">
            <w:pPr>
              <w:rPr>
                <w:lang w:val="en-US" w:eastAsia="nb-NO"/>
              </w:rPr>
            </w:pPr>
            <w:r>
              <w:rPr>
                <w:lang w:val="en-US" w:eastAsia="nb-NO"/>
              </w:rPr>
              <w:t>Sick role, identity, stigma, and hierarchy of diseases.</w:t>
            </w:r>
          </w:p>
          <w:p w:rsidR="00821C1E" w:rsidRPr="001A4ED9" w:rsidRDefault="00821C1E" w:rsidP="004F6264">
            <w:pPr>
              <w:rPr>
                <w:i/>
                <w:lang w:val="en-US" w:eastAsia="nb-NO"/>
              </w:rPr>
            </w:pPr>
            <w:r>
              <w:rPr>
                <w:i/>
                <w:lang w:val="en-US" w:eastAsia="nb-NO"/>
              </w:rPr>
              <w:t>Dag Album</w:t>
            </w:r>
          </w:p>
        </w:tc>
        <w:tc>
          <w:tcPr>
            <w:tcW w:w="2693" w:type="dxa"/>
            <w:shd w:val="clear" w:color="auto" w:fill="E5DFEC" w:themeFill="accent4" w:themeFillTint="33"/>
          </w:tcPr>
          <w:p w:rsidR="00821C1E" w:rsidRDefault="00821C1E" w:rsidP="004F6264">
            <w:pPr>
              <w:rPr>
                <w:lang w:val="en-US" w:eastAsia="nb-NO"/>
              </w:rPr>
            </w:pPr>
            <w:r w:rsidRPr="004B4D37">
              <w:rPr>
                <w:lang w:val="en-US" w:eastAsia="nb-NO"/>
              </w:rPr>
              <w:t>Biological, biomedical, and clinical perspectives on health and disease</w:t>
            </w:r>
            <w:r>
              <w:rPr>
                <w:lang w:val="en-US" w:eastAsia="nb-NO"/>
              </w:rPr>
              <w:t>.</w:t>
            </w:r>
          </w:p>
          <w:p w:rsidR="00821C1E" w:rsidRPr="007224C6" w:rsidRDefault="00821C1E" w:rsidP="004F6264">
            <w:pPr>
              <w:rPr>
                <w:i/>
                <w:lang w:val="en-US" w:eastAsia="nb-NO"/>
              </w:rPr>
            </w:pPr>
            <w:r>
              <w:rPr>
                <w:i/>
                <w:lang w:val="en-US" w:eastAsia="nb-NO"/>
              </w:rPr>
              <w:t>Nina K. Vøllestad</w:t>
            </w:r>
          </w:p>
        </w:tc>
        <w:tc>
          <w:tcPr>
            <w:tcW w:w="2693" w:type="dxa"/>
            <w:shd w:val="clear" w:color="auto" w:fill="DAEEF3" w:themeFill="accent5" w:themeFillTint="33"/>
          </w:tcPr>
          <w:p w:rsidR="00821C1E" w:rsidRPr="006165BA" w:rsidRDefault="00821C1E" w:rsidP="004F6264">
            <w:pPr>
              <w:rPr>
                <w:i/>
                <w:lang w:val="en-US" w:eastAsia="nb-NO"/>
              </w:rPr>
            </w:pPr>
            <w:r>
              <w:rPr>
                <w:lang w:val="en-US" w:eastAsia="nb-NO"/>
              </w:rPr>
              <w:t xml:space="preserve">Enhancing health and limiting disease: Human enhancement altering conceptions of health and disease. </w:t>
            </w:r>
            <w:r>
              <w:rPr>
                <w:i/>
                <w:lang w:val="en-US" w:eastAsia="nb-NO"/>
              </w:rPr>
              <w:t>Bjørn Hofmann</w:t>
            </w:r>
          </w:p>
        </w:tc>
        <w:tc>
          <w:tcPr>
            <w:tcW w:w="2552" w:type="dxa"/>
            <w:shd w:val="clear" w:color="auto" w:fill="FDE9D9" w:themeFill="accent6" w:themeFillTint="33"/>
          </w:tcPr>
          <w:p w:rsidR="00821C1E" w:rsidRDefault="00821C1E" w:rsidP="004F6264">
            <w:pPr>
              <w:rPr>
                <w:lang w:val="en"/>
              </w:rPr>
            </w:pPr>
            <w:r>
              <w:rPr>
                <w:lang w:val="en"/>
              </w:rPr>
              <w:t>Health, disease, agency, and responsibility</w:t>
            </w:r>
          </w:p>
          <w:p w:rsidR="00821C1E" w:rsidRDefault="00821C1E" w:rsidP="004F6264">
            <w:pPr>
              <w:rPr>
                <w:lang w:val="en"/>
              </w:rPr>
            </w:pPr>
            <w:r w:rsidRPr="00135AE3">
              <w:rPr>
                <w:i/>
                <w:lang w:val="en"/>
              </w:rPr>
              <w:t>Eli Feiring</w:t>
            </w:r>
            <w:r>
              <w:rPr>
                <w:lang w:val="en"/>
              </w:rPr>
              <w:t xml:space="preserve"> </w:t>
            </w:r>
          </w:p>
          <w:p w:rsidR="00821C1E" w:rsidRDefault="00821C1E" w:rsidP="004F6264">
            <w:pPr>
              <w:rPr>
                <w:lang w:val="en"/>
              </w:rPr>
            </w:pPr>
          </w:p>
        </w:tc>
      </w:tr>
      <w:tr w:rsidR="00821C1E" w:rsidRPr="00DE0A17" w:rsidTr="004F6264">
        <w:tc>
          <w:tcPr>
            <w:tcW w:w="1668" w:type="dxa"/>
            <w:shd w:val="clear" w:color="auto" w:fill="808080" w:themeFill="background1" w:themeFillShade="80"/>
          </w:tcPr>
          <w:p w:rsidR="00821C1E" w:rsidRPr="00E6253E" w:rsidRDefault="00821C1E" w:rsidP="004F6264">
            <w:pPr>
              <w:rPr>
                <w:color w:val="FFFFFF" w:themeColor="background1"/>
                <w:sz w:val="24"/>
              </w:rPr>
            </w:pPr>
            <w:r w:rsidRPr="00E6253E">
              <w:rPr>
                <w:color w:val="FFFFFF" w:themeColor="background1"/>
                <w:sz w:val="24"/>
              </w:rPr>
              <w:t>14.30 – 15.15</w:t>
            </w:r>
          </w:p>
        </w:tc>
        <w:tc>
          <w:tcPr>
            <w:tcW w:w="2835" w:type="dxa"/>
            <w:shd w:val="clear" w:color="auto" w:fill="DBE5F1" w:themeFill="accent1" w:themeFillTint="33"/>
          </w:tcPr>
          <w:p w:rsidR="00821C1E" w:rsidRPr="003915D3" w:rsidRDefault="00821C1E" w:rsidP="004F6264">
            <w:pPr>
              <w:rPr>
                <w:sz w:val="24"/>
                <w:lang w:val="en-US"/>
              </w:rPr>
            </w:pPr>
            <w:r w:rsidRPr="006F57B8">
              <w:rPr>
                <w:i/>
                <w:lang w:val="en-US" w:eastAsia="nb-NO"/>
              </w:rPr>
              <w:t>Group work on the concepts of health and disease</w:t>
            </w:r>
          </w:p>
        </w:tc>
        <w:tc>
          <w:tcPr>
            <w:tcW w:w="2693" w:type="dxa"/>
            <w:shd w:val="clear" w:color="auto" w:fill="EAF1DD" w:themeFill="accent3" w:themeFillTint="33"/>
          </w:tcPr>
          <w:p w:rsidR="00D538DB" w:rsidRDefault="00821C1E" w:rsidP="00D538DB">
            <w:pPr>
              <w:rPr>
                <w:lang w:val="en-US" w:eastAsia="nb-NO"/>
              </w:rPr>
            </w:pPr>
            <w:r>
              <w:rPr>
                <w:lang w:val="en-US" w:eastAsia="nb-NO"/>
              </w:rPr>
              <w:t xml:space="preserve"> </w:t>
            </w:r>
            <w:r w:rsidR="00D538DB">
              <w:rPr>
                <w:lang w:val="en-US" w:eastAsia="nb-NO"/>
              </w:rPr>
              <w:t xml:space="preserve">The practical making of health and disease: the role of technology. </w:t>
            </w:r>
          </w:p>
          <w:p w:rsidR="00821C1E" w:rsidRDefault="00D538DB" w:rsidP="00D538DB">
            <w:pPr>
              <w:rPr>
                <w:lang w:val="en-US" w:eastAsia="nb-NO"/>
              </w:rPr>
            </w:pPr>
            <w:r w:rsidRPr="006165BA">
              <w:rPr>
                <w:i/>
                <w:lang w:val="en-US" w:eastAsia="nb-NO"/>
              </w:rPr>
              <w:t>Bjørn Hofmann</w:t>
            </w:r>
          </w:p>
        </w:tc>
        <w:tc>
          <w:tcPr>
            <w:tcW w:w="2693" w:type="dxa"/>
            <w:shd w:val="clear" w:color="auto" w:fill="E5DFEC" w:themeFill="accent4" w:themeFillTint="33"/>
          </w:tcPr>
          <w:p w:rsidR="00821C1E" w:rsidRPr="006165BA" w:rsidRDefault="00821C1E" w:rsidP="004F6264">
            <w:pPr>
              <w:rPr>
                <w:i/>
                <w:lang w:val="en-US" w:eastAsia="nb-NO"/>
              </w:rPr>
            </w:pPr>
            <w:r>
              <w:rPr>
                <w:lang w:val="en-US" w:eastAsia="nb-NO"/>
              </w:rPr>
              <w:t xml:space="preserve">Anthropological perspectives on health and disease. </w:t>
            </w:r>
            <w:r>
              <w:rPr>
                <w:i/>
                <w:lang w:val="en-US" w:eastAsia="nb-NO"/>
              </w:rPr>
              <w:t>Kåre Moen</w:t>
            </w:r>
          </w:p>
        </w:tc>
        <w:tc>
          <w:tcPr>
            <w:tcW w:w="2693" w:type="dxa"/>
            <w:shd w:val="clear" w:color="auto" w:fill="DAEEF3" w:themeFill="accent5" w:themeFillTint="33"/>
          </w:tcPr>
          <w:p w:rsidR="00821C1E" w:rsidRPr="006165BA" w:rsidRDefault="00821C1E" w:rsidP="004F6264">
            <w:pPr>
              <w:rPr>
                <w:i/>
                <w:lang w:val="en-US" w:eastAsia="nb-NO"/>
              </w:rPr>
            </w:pPr>
            <w:r w:rsidRPr="006165BA">
              <w:rPr>
                <w:i/>
                <w:lang w:val="en-US" w:eastAsia="nb-NO"/>
              </w:rPr>
              <w:t>Group work on the power of knowledge about health and disease</w:t>
            </w:r>
          </w:p>
        </w:tc>
        <w:tc>
          <w:tcPr>
            <w:tcW w:w="2552" w:type="dxa"/>
            <w:shd w:val="clear" w:color="auto" w:fill="FDE9D9" w:themeFill="accent6" w:themeFillTint="33"/>
          </w:tcPr>
          <w:p w:rsidR="00821C1E" w:rsidRPr="00135AE3" w:rsidRDefault="00821C1E" w:rsidP="004F6264">
            <w:pPr>
              <w:rPr>
                <w:i/>
                <w:lang w:val="en"/>
              </w:rPr>
            </w:pPr>
            <w:r w:rsidRPr="001A4ED9">
              <w:rPr>
                <w:i/>
                <w:lang w:val="en"/>
              </w:rPr>
              <w:t>Information about exam</w:t>
            </w:r>
          </w:p>
        </w:tc>
      </w:tr>
      <w:tr w:rsidR="00821C1E" w:rsidRPr="0090631B" w:rsidTr="004F6264">
        <w:tc>
          <w:tcPr>
            <w:tcW w:w="1668" w:type="dxa"/>
            <w:shd w:val="clear" w:color="auto" w:fill="808080" w:themeFill="background1" w:themeFillShade="80"/>
          </w:tcPr>
          <w:p w:rsidR="00821C1E" w:rsidRPr="00E6253E" w:rsidRDefault="00821C1E" w:rsidP="004F6264">
            <w:pPr>
              <w:rPr>
                <w:color w:val="FFFFFF" w:themeColor="background1"/>
                <w:sz w:val="24"/>
              </w:rPr>
            </w:pPr>
            <w:r>
              <w:rPr>
                <w:color w:val="FFFFFF" w:themeColor="background1"/>
                <w:sz w:val="24"/>
              </w:rPr>
              <w:t>15.30 – 16.00</w:t>
            </w:r>
          </w:p>
        </w:tc>
        <w:tc>
          <w:tcPr>
            <w:tcW w:w="2835" w:type="dxa"/>
            <w:shd w:val="clear" w:color="auto" w:fill="DBE5F1" w:themeFill="accent1" w:themeFillTint="33"/>
          </w:tcPr>
          <w:p w:rsidR="00821C1E" w:rsidRPr="006F57B8" w:rsidRDefault="00821C1E" w:rsidP="004F6264">
            <w:pPr>
              <w:rPr>
                <w:i/>
                <w:lang w:val="en-US" w:eastAsia="nb-NO"/>
              </w:rPr>
            </w:pPr>
            <w:r>
              <w:rPr>
                <w:i/>
                <w:lang w:val="en-US" w:eastAsia="nb-NO"/>
              </w:rPr>
              <w:t>Summary of group work</w:t>
            </w:r>
          </w:p>
        </w:tc>
        <w:tc>
          <w:tcPr>
            <w:tcW w:w="2693" w:type="dxa"/>
            <w:shd w:val="clear" w:color="auto" w:fill="EAF1DD" w:themeFill="accent3" w:themeFillTint="33"/>
          </w:tcPr>
          <w:p w:rsidR="00821C1E" w:rsidRPr="001A4ED9" w:rsidRDefault="00821C1E" w:rsidP="004F6264">
            <w:pPr>
              <w:rPr>
                <w:i/>
                <w:lang w:val="en-US" w:eastAsia="nb-NO"/>
              </w:rPr>
            </w:pPr>
            <w:r w:rsidRPr="001A4ED9">
              <w:rPr>
                <w:i/>
                <w:lang w:val="en-US" w:eastAsia="nb-NO"/>
              </w:rPr>
              <w:t>Summary of the day</w:t>
            </w:r>
          </w:p>
        </w:tc>
        <w:tc>
          <w:tcPr>
            <w:tcW w:w="2693" w:type="dxa"/>
            <w:shd w:val="clear" w:color="auto" w:fill="E5DFEC" w:themeFill="accent4" w:themeFillTint="33"/>
          </w:tcPr>
          <w:p w:rsidR="00821C1E" w:rsidRPr="001A4ED9" w:rsidRDefault="00821C1E" w:rsidP="004F6264">
            <w:pPr>
              <w:rPr>
                <w:i/>
                <w:lang w:val="en-US" w:eastAsia="nb-NO"/>
              </w:rPr>
            </w:pPr>
            <w:r w:rsidRPr="001A4ED9">
              <w:rPr>
                <w:i/>
                <w:lang w:val="en-US" w:eastAsia="nb-NO"/>
              </w:rPr>
              <w:t>Summary of the day</w:t>
            </w:r>
          </w:p>
        </w:tc>
        <w:tc>
          <w:tcPr>
            <w:tcW w:w="2693" w:type="dxa"/>
            <w:shd w:val="clear" w:color="auto" w:fill="DAEEF3" w:themeFill="accent5" w:themeFillTint="33"/>
          </w:tcPr>
          <w:p w:rsidR="00821C1E" w:rsidRPr="001A4ED9" w:rsidRDefault="00821C1E" w:rsidP="004F6264">
            <w:pPr>
              <w:rPr>
                <w:i/>
                <w:lang w:val="en-US" w:eastAsia="nb-NO"/>
              </w:rPr>
            </w:pPr>
            <w:r w:rsidRPr="001A4ED9">
              <w:rPr>
                <w:i/>
                <w:lang w:val="en-US" w:eastAsia="nb-NO"/>
              </w:rPr>
              <w:t>Summary of the day</w:t>
            </w:r>
          </w:p>
        </w:tc>
        <w:tc>
          <w:tcPr>
            <w:tcW w:w="2552" w:type="dxa"/>
            <w:shd w:val="clear" w:color="auto" w:fill="FDE9D9" w:themeFill="accent6" w:themeFillTint="33"/>
          </w:tcPr>
          <w:p w:rsidR="00821C1E" w:rsidRPr="001A4ED9" w:rsidRDefault="00821C1E" w:rsidP="004F6264">
            <w:pPr>
              <w:rPr>
                <w:i/>
                <w:lang w:val="en"/>
              </w:rPr>
            </w:pPr>
            <w:r>
              <w:rPr>
                <w:i/>
                <w:lang w:val="en"/>
              </w:rPr>
              <w:t>Summary of the course</w:t>
            </w:r>
          </w:p>
        </w:tc>
      </w:tr>
    </w:tbl>
    <w:p w:rsidR="00EF40F5" w:rsidRDefault="00EF40F5" w:rsidP="00CD5CAE">
      <w:pPr>
        <w:pStyle w:val="Heading1"/>
        <w:rPr>
          <w:lang w:val="en-US" w:eastAsia="nb-NO"/>
        </w:rPr>
        <w:sectPr w:rsidR="00EF40F5" w:rsidSect="00D538DB">
          <w:pgSz w:w="16838" w:h="11906" w:orient="landscape"/>
          <w:pgMar w:top="1134" w:right="1418" w:bottom="1418" w:left="1418" w:header="709" w:footer="709" w:gutter="0"/>
          <w:cols w:space="708"/>
          <w:docGrid w:linePitch="360"/>
        </w:sectPr>
      </w:pPr>
    </w:p>
    <w:p w:rsidR="00CD5CAE" w:rsidRDefault="00CD5CAE" w:rsidP="00CD5CAE">
      <w:pPr>
        <w:pStyle w:val="Heading1"/>
        <w:rPr>
          <w:lang w:val="en-US" w:eastAsia="nb-NO"/>
        </w:rPr>
      </w:pPr>
      <w:r>
        <w:rPr>
          <w:lang w:val="en-US" w:eastAsia="nb-NO"/>
        </w:rPr>
        <w:lastRenderedPageBreak/>
        <w:t>Literature</w:t>
      </w:r>
    </w:p>
    <w:p w:rsidR="00CD5CAE" w:rsidRPr="002B551B" w:rsidRDefault="00CD5CAE" w:rsidP="00CD5CAE">
      <w:pPr>
        <w:spacing w:after="0"/>
        <w:rPr>
          <w:lang w:val="en-US" w:eastAsia="nb-NO"/>
        </w:rPr>
      </w:pPr>
      <w:r>
        <w:rPr>
          <w:lang w:val="en-US" w:eastAsia="nb-NO"/>
        </w:rPr>
        <w:t>Based on the literature list below, course participants</w:t>
      </w:r>
      <w:r w:rsidRPr="002B551B">
        <w:rPr>
          <w:lang w:val="en-US" w:eastAsia="nb-NO"/>
        </w:rPr>
        <w:t xml:space="preserve"> will </w:t>
      </w:r>
      <w:r>
        <w:rPr>
          <w:lang w:val="en-US" w:eastAsia="nb-NO"/>
        </w:rPr>
        <w:t>set up</w:t>
      </w:r>
      <w:r w:rsidRPr="002B551B">
        <w:rPr>
          <w:lang w:val="en-US" w:eastAsia="nb-NO"/>
        </w:rPr>
        <w:t xml:space="preserve"> </w:t>
      </w:r>
      <w:r>
        <w:rPr>
          <w:lang w:val="en-US" w:eastAsia="nb-NO"/>
        </w:rPr>
        <w:t>their</w:t>
      </w:r>
      <w:r w:rsidRPr="002B551B">
        <w:rPr>
          <w:lang w:val="en-US" w:eastAsia="nb-NO"/>
        </w:rPr>
        <w:t xml:space="preserve"> </w:t>
      </w:r>
      <w:r>
        <w:rPr>
          <w:lang w:val="en-US" w:eastAsia="nb-NO"/>
        </w:rPr>
        <w:t xml:space="preserve">own </w:t>
      </w:r>
      <w:r w:rsidRPr="002B551B">
        <w:rPr>
          <w:lang w:val="en-US" w:eastAsia="nb-NO"/>
        </w:rPr>
        <w:t>reading list</w:t>
      </w:r>
      <w:r>
        <w:rPr>
          <w:lang w:val="en-US" w:eastAsia="nb-NO"/>
        </w:rPr>
        <w:t>s</w:t>
      </w:r>
      <w:r w:rsidRPr="002B551B">
        <w:rPr>
          <w:lang w:val="en-US" w:eastAsia="nb-NO"/>
        </w:rPr>
        <w:t xml:space="preserve"> </w:t>
      </w:r>
      <w:r>
        <w:rPr>
          <w:lang w:val="en-US" w:eastAsia="nb-NO"/>
        </w:rPr>
        <w:t>for</w:t>
      </w:r>
      <w:r w:rsidRPr="002B551B">
        <w:rPr>
          <w:lang w:val="en-US" w:eastAsia="nb-NO"/>
        </w:rPr>
        <w:t xml:space="preserve"> </w:t>
      </w:r>
      <w:r>
        <w:rPr>
          <w:lang w:val="en-US" w:eastAsia="nb-NO"/>
        </w:rPr>
        <w:t xml:space="preserve">their participation in </w:t>
      </w:r>
      <w:r w:rsidRPr="002B551B">
        <w:rPr>
          <w:lang w:val="en-US" w:eastAsia="nb-NO"/>
        </w:rPr>
        <w:t xml:space="preserve">this course, </w:t>
      </w:r>
      <w:r>
        <w:rPr>
          <w:lang w:val="en-US" w:eastAsia="nb-NO"/>
        </w:rPr>
        <w:t xml:space="preserve">choosing 400 pages from the following literature. </w:t>
      </w:r>
    </w:p>
    <w:p w:rsidR="00CD5CAE" w:rsidRPr="009047C9" w:rsidRDefault="00D43BD1" w:rsidP="00CD5CAE">
      <w:pPr>
        <w:spacing w:after="60" w:line="240" w:lineRule="auto"/>
        <w:rPr>
          <w:lang w:val="en-US"/>
        </w:rPr>
      </w:pPr>
      <w:r w:rsidRPr="009E7F7E">
        <w:t xml:space="preserve">Album, Dag, Lars EF Johannessen, and Erik B. Rasmussen. </w:t>
      </w:r>
      <w:r w:rsidRPr="00D43BD1">
        <w:rPr>
          <w:lang w:val="en-US"/>
        </w:rPr>
        <w:t>"Stability and change in disease prestige: A comparative analysis of three surveys spanning a quarter of a century." Social Science &amp; Medicine (2017).</w:t>
      </w:r>
    </w:p>
    <w:p w:rsidR="00CD5CAE" w:rsidRPr="009047C9" w:rsidRDefault="00CD5CAE" w:rsidP="00CD5CAE">
      <w:pPr>
        <w:spacing w:after="60" w:line="240" w:lineRule="auto"/>
        <w:rPr>
          <w:lang w:val="en-US"/>
        </w:rPr>
      </w:pPr>
      <w:proofErr w:type="spellStart"/>
      <w:r w:rsidRPr="009047C9">
        <w:rPr>
          <w:lang w:val="en-US"/>
        </w:rPr>
        <w:t>Aronowitz</w:t>
      </w:r>
      <w:proofErr w:type="spellEnd"/>
      <w:r w:rsidRPr="009047C9">
        <w:rPr>
          <w:lang w:val="en-US"/>
        </w:rPr>
        <w:t xml:space="preserve"> R. Framing disease: an underappreciated mechanism for the social patterning of health. Social science &amp; medicine. 2008</w:t>
      </w:r>
      <w:proofErr w:type="gramStart"/>
      <w:r w:rsidRPr="009047C9">
        <w:rPr>
          <w:lang w:val="en-US"/>
        </w:rPr>
        <w:t>;67</w:t>
      </w:r>
      <w:proofErr w:type="gramEnd"/>
      <w:r w:rsidRPr="009047C9">
        <w:rPr>
          <w:lang w:val="en-US"/>
        </w:rPr>
        <w:t>(1):1-9.</w:t>
      </w:r>
    </w:p>
    <w:p w:rsidR="00CD5CAE" w:rsidRPr="009047C9" w:rsidRDefault="00CD5CAE" w:rsidP="00CD5CAE">
      <w:pPr>
        <w:spacing w:after="60" w:line="240" w:lineRule="auto"/>
        <w:rPr>
          <w:lang w:val="en-US"/>
        </w:rPr>
      </w:pPr>
      <w:proofErr w:type="spellStart"/>
      <w:r w:rsidRPr="009047C9">
        <w:rPr>
          <w:lang w:val="en-US"/>
        </w:rPr>
        <w:t>Aronowitz</w:t>
      </w:r>
      <w:proofErr w:type="spellEnd"/>
      <w:r w:rsidRPr="009047C9">
        <w:rPr>
          <w:lang w:val="en-US"/>
        </w:rPr>
        <w:t xml:space="preserve"> R. Making Sense of Illness: Science, Society, and Disease. New York: Cambridge University Press, 1998.</w:t>
      </w:r>
    </w:p>
    <w:p w:rsidR="00CD5CAE" w:rsidRPr="009047C9" w:rsidRDefault="00CD5CAE" w:rsidP="00CD5CAE">
      <w:pPr>
        <w:spacing w:after="60" w:line="240" w:lineRule="auto"/>
        <w:rPr>
          <w:lang w:val="en-US"/>
        </w:rPr>
      </w:pPr>
      <w:proofErr w:type="spellStart"/>
      <w:r w:rsidRPr="009047C9">
        <w:rPr>
          <w:lang w:val="en-US"/>
        </w:rPr>
        <w:t>Boorse</w:t>
      </w:r>
      <w:proofErr w:type="spellEnd"/>
      <w:r w:rsidRPr="009047C9">
        <w:rPr>
          <w:lang w:val="en-US"/>
        </w:rPr>
        <w:t xml:space="preserve"> C. A Second Rebuttal on Health. Journal of Medicine and Philosophy 2014; 39:683-724.</w:t>
      </w:r>
    </w:p>
    <w:p w:rsidR="00CD5CAE" w:rsidRPr="009047C9" w:rsidRDefault="00CD5CAE" w:rsidP="00CD5CAE">
      <w:pPr>
        <w:spacing w:after="60" w:line="240" w:lineRule="auto"/>
        <w:rPr>
          <w:lang w:val="en-US"/>
        </w:rPr>
      </w:pPr>
      <w:proofErr w:type="spellStart"/>
      <w:r w:rsidRPr="009047C9">
        <w:rPr>
          <w:lang w:val="en-US"/>
        </w:rPr>
        <w:t>Boorse</w:t>
      </w:r>
      <w:proofErr w:type="spellEnd"/>
      <w:r w:rsidRPr="009047C9">
        <w:rPr>
          <w:lang w:val="en-US"/>
        </w:rPr>
        <w:t xml:space="preserve"> C. On the </w:t>
      </w:r>
      <w:proofErr w:type="spellStart"/>
      <w:r w:rsidRPr="009047C9">
        <w:rPr>
          <w:lang w:val="en-US"/>
        </w:rPr>
        <w:t>Distincion</w:t>
      </w:r>
      <w:proofErr w:type="spellEnd"/>
      <w:r w:rsidRPr="009047C9">
        <w:rPr>
          <w:lang w:val="en-US"/>
        </w:rPr>
        <w:t xml:space="preserve"> </w:t>
      </w:r>
      <w:proofErr w:type="gramStart"/>
      <w:r w:rsidRPr="009047C9">
        <w:rPr>
          <w:lang w:val="en-US"/>
        </w:rPr>
        <w:t>Between</w:t>
      </w:r>
      <w:proofErr w:type="gramEnd"/>
      <w:r w:rsidRPr="009047C9">
        <w:rPr>
          <w:lang w:val="en-US"/>
        </w:rPr>
        <w:t xml:space="preserve"> Disease and Illness. Philosophy and Public Affairs 1975</w:t>
      </w:r>
      <w:proofErr w:type="gramStart"/>
      <w:r w:rsidRPr="009047C9">
        <w:rPr>
          <w:lang w:val="en-US"/>
        </w:rPr>
        <w:t>;5</w:t>
      </w:r>
      <w:proofErr w:type="gramEnd"/>
      <w:r w:rsidRPr="009047C9">
        <w:rPr>
          <w:lang w:val="en-US"/>
        </w:rPr>
        <w:t>: 49-68.</w:t>
      </w:r>
    </w:p>
    <w:p w:rsidR="00CD5CAE" w:rsidRPr="009047C9" w:rsidRDefault="00CD5CAE" w:rsidP="00CD5CAE">
      <w:pPr>
        <w:spacing w:after="60" w:line="240" w:lineRule="auto"/>
        <w:rPr>
          <w:lang w:val="en-US"/>
        </w:rPr>
      </w:pPr>
      <w:proofErr w:type="spellStart"/>
      <w:r w:rsidRPr="009047C9">
        <w:rPr>
          <w:lang w:val="en-US"/>
        </w:rPr>
        <w:t>Carel</w:t>
      </w:r>
      <w:proofErr w:type="spellEnd"/>
      <w:r w:rsidRPr="009047C9">
        <w:rPr>
          <w:lang w:val="en-US"/>
        </w:rPr>
        <w:t xml:space="preserve"> H. Can I Be Ill and Happy? </w:t>
      </w:r>
      <w:proofErr w:type="spellStart"/>
      <w:r w:rsidRPr="009047C9">
        <w:rPr>
          <w:lang w:val="en-US"/>
        </w:rPr>
        <w:t>Philosophia</w:t>
      </w:r>
      <w:proofErr w:type="spellEnd"/>
      <w:r w:rsidRPr="009047C9">
        <w:rPr>
          <w:lang w:val="en-US"/>
        </w:rPr>
        <w:t>, 2007; 35: 95–110</w:t>
      </w:r>
    </w:p>
    <w:p w:rsidR="00CD5CAE" w:rsidRPr="009047C9" w:rsidRDefault="00CD5CAE" w:rsidP="00CD5CAE">
      <w:pPr>
        <w:spacing w:after="60" w:line="240" w:lineRule="auto"/>
        <w:rPr>
          <w:lang w:val="en-US"/>
        </w:rPr>
      </w:pPr>
      <w:proofErr w:type="spellStart"/>
      <w:r w:rsidRPr="009047C9">
        <w:rPr>
          <w:lang w:val="en-US"/>
        </w:rPr>
        <w:t>Clouser</w:t>
      </w:r>
      <w:proofErr w:type="spellEnd"/>
      <w:r w:rsidRPr="009047C9">
        <w:rPr>
          <w:lang w:val="en-US"/>
        </w:rPr>
        <w:t xml:space="preserve"> KD, Culver CM, Gert B. Malady. In: </w:t>
      </w:r>
      <w:proofErr w:type="spellStart"/>
      <w:r w:rsidRPr="009047C9">
        <w:rPr>
          <w:lang w:val="en-US"/>
        </w:rPr>
        <w:t>Almeder</w:t>
      </w:r>
      <w:proofErr w:type="spellEnd"/>
      <w:r w:rsidRPr="009047C9">
        <w:rPr>
          <w:lang w:val="en-US"/>
        </w:rPr>
        <w:t xml:space="preserve"> RF, Humber JM (</w:t>
      </w:r>
      <w:proofErr w:type="spellStart"/>
      <w:proofErr w:type="gramStart"/>
      <w:r w:rsidRPr="009047C9">
        <w:rPr>
          <w:lang w:val="en-US"/>
        </w:rPr>
        <w:t>eds</w:t>
      </w:r>
      <w:proofErr w:type="spellEnd"/>
      <w:proofErr w:type="gramEnd"/>
      <w:r w:rsidRPr="009047C9">
        <w:rPr>
          <w:lang w:val="en-US"/>
        </w:rPr>
        <w:t xml:space="preserve">). </w:t>
      </w:r>
      <w:r w:rsidRPr="006A0B33">
        <w:rPr>
          <w:lang w:val="en-US"/>
        </w:rPr>
        <w:t xml:space="preserve">What is a disease? </w:t>
      </w:r>
      <w:proofErr w:type="spellStart"/>
      <w:r w:rsidRPr="009047C9">
        <w:t>Totowa</w:t>
      </w:r>
      <w:proofErr w:type="spellEnd"/>
      <w:r w:rsidRPr="009047C9">
        <w:t xml:space="preserve">, NJ: Humana Press, 1997: 173-217. (Følgende kan være lettere å få tak i: </w:t>
      </w:r>
      <w:proofErr w:type="spellStart"/>
      <w:r w:rsidRPr="009047C9">
        <w:t>Clouser</w:t>
      </w:r>
      <w:proofErr w:type="spellEnd"/>
      <w:r w:rsidRPr="009047C9">
        <w:t xml:space="preserve">, K. D., Culver, C. M., &amp; Gert, B. (1981). </w:t>
      </w:r>
      <w:r w:rsidRPr="009047C9">
        <w:rPr>
          <w:lang w:val="en-US"/>
        </w:rPr>
        <w:t>Malady: a new treatment of disease. Hastings Cent Rep, 11(3), 29-37.)</w:t>
      </w:r>
    </w:p>
    <w:p w:rsidR="00CD5CAE" w:rsidRPr="009047C9" w:rsidRDefault="00CD5CAE" w:rsidP="00CD5CAE">
      <w:pPr>
        <w:spacing w:after="60" w:line="240" w:lineRule="auto"/>
        <w:rPr>
          <w:lang w:val="en-US"/>
        </w:rPr>
      </w:pPr>
      <w:r w:rsidRPr="00CD5CAE">
        <w:rPr>
          <w:lang w:val="en-US"/>
        </w:rPr>
        <w:lastRenderedPageBreak/>
        <w:t xml:space="preserve">Conrad, Peter, and Kristin K. Barker. </w:t>
      </w:r>
      <w:r w:rsidRPr="009047C9">
        <w:rPr>
          <w:lang w:val="en-US"/>
        </w:rPr>
        <w:t xml:space="preserve">"The social construction of illness key insights and policy implications." Journal of health and social behavior 51.1 </w:t>
      </w:r>
      <w:proofErr w:type="spellStart"/>
      <w:r w:rsidRPr="009047C9">
        <w:rPr>
          <w:lang w:val="en-US"/>
        </w:rPr>
        <w:t>suppl</w:t>
      </w:r>
      <w:proofErr w:type="spellEnd"/>
      <w:r w:rsidRPr="009047C9">
        <w:rPr>
          <w:lang w:val="en-US"/>
        </w:rPr>
        <w:t xml:space="preserve"> (2010): S67-S79.</w:t>
      </w:r>
    </w:p>
    <w:p w:rsidR="00CD5CAE" w:rsidRPr="009047C9" w:rsidRDefault="00CD5CAE" w:rsidP="00CD5CAE">
      <w:pPr>
        <w:spacing w:after="60" w:line="240" w:lineRule="auto"/>
        <w:rPr>
          <w:lang w:val="en-US"/>
        </w:rPr>
      </w:pPr>
      <w:proofErr w:type="spellStart"/>
      <w:r w:rsidRPr="009047C9">
        <w:rPr>
          <w:lang w:val="en-US"/>
        </w:rPr>
        <w:t>Csordas</w:t>
      </w:r>
      <w:proofErr w:type="spellEnd"/>
      <w:r w:rsidRPr="009047C9">
        <w:rPr>
          <w:lang w:val="en-US"/>
        </w:rPr>
        <w:t>, Thomas J. "Embodiment as a Paradigm for Anthropology." Ethos 18.1 (1990): 5-47.</w:t>
      </w:r>
    </w:p>
    <w:p w:rsidR="00CD5CAE" w:rsidRPr="009047C9" w:rsidRDefault="00CD5CAE" w:rsidP="00CD5CAE">
      <w:pPr>
        <w:spacing w:after="60" w:line="240" w:lineRule="auto"/>
        <w:rPr>
          <w:lang w:val="en-US"/>
        </w:rPr>
      </w:pPr>
      <w:r w:rsidRPr="009047C9">
        <w:rPr>
          <w:lang w:val="en-US"/>
        </w:rPr>
        <w:t xml:space="preserve">D’Amico R. Is disease a natural kind? </w:t>
      </w:r>
      <w:proofErr w:type="spellStart"/>
      <w:r w:rsidRPr="009047C9">
        <w:rPr>
          <w:lang w:val="en-US"/>
        </w:rPr>
        <w:t>Jornal</w:t>
      </w:r>
      <w:proofErr w:type="spellEnd"/>
      <w:r w:rsidRPr="009047C9">
        <w:rPr>
          <w:lang w:val="en-US"/>
        </w:rPr>
        <w:t xml:space="preserve"> of Medicine and Philosophy 1995; 20: 551-69.</w:t>
      </w:r>
    </w:p>
    <w:p w:rsidR="00546E05" w:rsidRDefault="00546E05" w:rsidP="00546E05">
      <w:pPr>
        <w:spacing w:after="60" w:line="240" w:lineRule="auto"/>
        <w:rPr>
          <w:lang w:val="en-US"/>
        </w:rPr>
      </w:pPr>
      <w:r w:rsidRPr="00546E05">
        <w:rPr>
          <w:lang w:val="en-US"/>
        </w:rPr>
        <w:t>Feiring E.  Lifestyle, responsibility and justice.  Journal of Medical Ethics 2008</w:t>
      </w:r>
      <w:proofErr w:type="gramStart"/>
      <w:r w:rsidRPr="00546E05">
        <w:rPr>
          <w:lang w:val="en-US"/>
        </w:rPr>
        <w:t>;34:33</w:t>
      </w:r>
      <w:proofErr w:type="gramEnd"/>
      <w:r w:rsidRPr="00546E05">
        <w:rPr>
          <w:lang w:val="en-US"/>
        </w:rPr>
        <w:t xml:space="preserve">-36. </w:t>
      </w:r>
      <w:r>
        <w:rPr>
          <w:lang w:val="en-US"/>
        </w:rPr>
        <w:t xml:space="preserve"> </w:t>
      </w:r>
      <w:hyperlink r:id="rId9" w:history="1">
        <w:r w:rsidRPr="007D64DD">
          <w:rPr>
            <w:rStyle w:val="Hyperlink"/>
            <w:lang w:val="en-US"/>
          </w:rPr>
          <w:t>http://dx.doi.org/10.1136/jme.2006.019067</w:t>
        </w:r>
      </w:hyperlink>
      <w:r>
        <w:rPr>
          <w:lang w:val="en-US"/>
        </w:rPr>
        <w:t xml:space="preserve"> </w:t>
      </w:r>
    </w:p>
    <w:p w:rsidR="00CD5CAE" w:rsidRPr="009047C9" w:rsidRDefault="00CD5CAE" w:rsidP="00CD5CAE">
      <w:pPr>
        <w:spacing w:after="60" w:line="240" w:lineRule="auto"/>
        <w:rPr>
          <w:lang w:val="en-US"/>
        </w:rPr>
      </w:pPr>
      <w:proofErr w:type="spellStart"/>
      <w:r w:rsidRPr="009047C9">
        <w:rPr>
          <w:lang w:val="en-US"/>
        </w:rPr>
        <w:t>Fulford</w:t>
      </w:r>
      <w:proofErr w:type="spellEnd"/>
      <w:r w:rsidRPr="009047C9">
        <w:rPr>
          <w:lang w:val="en-US"/>
        </w:rPr>
        <w:t xml:space="preserve"> KW. ‘What is (mental) disease?</w:t>
      </w:r>
      <w:proofErr w:type="gramStart"/>
      <w:r w:rsidRPr="009047C9">
        <w:rPr>
          <w:lang w:val="en-US"/>
        </w:rPr>
        <w:t>’:</w:t>
      </w:r>
      <w:proofErr w:type="gramEnd"/>
      <w:r w:rsidRPr="009047C9">
        <w:rPr>
          <w:lang w:val="en-US"/>
        </w:rPr>
        <w:t xml:space="preserve"> an open letter to Christopher </w:t>
      </w:r>
      <w:proofErr w:type="spellStart"/>
      <w:r w:rsidRPr="009047C9">
        <w:rPr>
          <w:lang w:val="en-US"/>
        </w:rPr>
        <w:t>Boorse</w:t>
      </w:r>
      <w:proofErr w:type="spellEnd"/>
      <w:r w:rsidRPr="009047C9">
        <w:rPr>
          <w:lang w:val="en-US"/>
        </w:rPr>
        <w:t>. Journal of Medical Ethics 2001</w:t>
      </w:r>
      <w:proofErr w:type="gramStart"/>
      <w:r w:rsidRPr="009047C9">
        <w:rPr>
          <w:lang w:val="en-US"/>
        </w:rPr>
        <w:t>;27:80</w:t>
      </w:r>
      <w:proofErr w:type="gramEnd"/>
      <w:r w:rsidRPr="009047C9">
        <w:rPr>
          <w:lang w:val="en-US"/>
        </w:rPr>
        <w:t>–85.</w:t>
      </w:r>
    </w:p>
    <w:p w:rsidR="00CD5CAE" w:rsidRPr="009047C9" w:rsidRDefault="00CD5CAE" w:rsidP="00CD5CAE">
      <w:pPr>
        <w:spacing w:after="60" w:line="240" w:lineRule="auto"/>
        <w:rPr>
          <w:lang w:val="en-US"/>
        </w:rPr>
      </w:pPr>
      <w:proofErr w:type="spellStart"/>
      <w:r w:rsidRPr="009047C9">
        <w:rPr>
          <w:lang w:val="en-US"/>
        </w:rPr>
        <w:t>Gabbay</w:t>
      </w:r>
      <w:proofErr w:type="spellEnd"/>
      <w:r w:rsidRPr="009047C9">
        <w:rPr>
          <w:lang w:val="en-US"/>
        </w:rPr>
        <w:t xml:space="preserve"> J, Le May A. Evidence based guidelines or collectively constructed “</w:t>
      </w:r>
      <w:proofErr w:type="spellStart"/>
      <w:r w:rsidRPr="009047C9">
        <w:rPr>
          <w:lang w:val="en-US"/>
        </w:rPr>
        <w:t>mindlines</w:t>
      </w:r>
      <w:proofErr w:type="spellEnd"/>
      <w:r w:rsidRPr="009047C9">
        <w:rPr>
          <w:lang w:val="en-US"/>
        </w:rPr>
        <w:t>?” Ethnographic study of knowledge management in primary care. BMJ 2004 Oct 30</w:t>
      </w:r>
      <w:proofErr w:type="gramStart"/>
      <w:r w:rsidRPr="009047C9">
        <w:rPr>
          <w:lang w:val="en-US"/>
        </w:rPr>
        <w:t>;329</w:t>
      </w:r>
      <w:proofErr w:type="gramEnd"/>
      <w:r w:rsidRPr="009047C9">
        <w:rPr>
          <w:lang w:val="en-US"/>
        </w:rPr>
        <w:t>(7473):1013.</w:t>
      </w:r>
    </w:p>
    <w:p w:rsidR="00CD5CAE" w:rsidRPr="009047C9" w:rsidRDefault="004B753F" w:rsidP="00CD5CAE">
      <w:pPr>
        <w:spacing w:after="60" w:line="240" w:lineRule="auto"/>
        <w:rPr>
          <w:lang w:val="en-US"/>
        </w:rPr>
      </w:pPr>
      <w:r>
        <w:rPr>
          <w:lang w:val="en-US"/>
        </w:rPr>
        <w:t>Greenhalgh, Trisha</w:t>
      </w:r>
      <w:r w:rsidR="00CD5CAE" w:rsidRPr="009047C9">
        <w:rPr>
          <w:lang w:val="en-US"/>
        </w:rPr>
        <w:t xml:space="preserve">. Evidence-based medicine: A movement in crises? BMJ, </w:t>
      </w:r>
      <w:r w:rsidRPr="009047C9">
        <w:rPr>
          <w:lang w:val="en-US"/>
        </w:rPr>
        <w:t>2014</w:t>
      </w:r>
      <w:proofErr w:type="gramStart"/>
      <w:r>
        <w:rPr>
          <w:lang w:val="en-US"/>
        </w:rPr>
        <w:t>;</w:t>
      </w:r>
      <w:r w:rsidR="00CD5CAE" w:rsidRPr="009047C9">
        <w:rPr>
          <w:lang w:val="en-US"/>
        </w:rPr>
        <w:t>348</w:t>
      </w:r>
      <w:proofErr w:type="gramEnd"/>
      <w:r w:rsidR="00CD5CAE" w:rsidRPr="009047C9">
        <w:rPr>
          <w:lang w:val="en-US"/>
        </w:rPr>
        <w:t>(3725)</w:t>
      </w:r>
    </w:p>
    <w:p w:rsidR="004B753F" w:rsidRPr="00BB5CD0" w:rsidRDefault="004B753F" w:rsidP="00CD5CAE">
      <w:pPr>
        <w:spacing w:after="60" w:line="240" w:lineRule="auto"/>
        <w:rPr>
          <w:lang w:val="en-US"/>
        </w:rPr>
      </w:pPr>
      <w:r>
        <w:rPr>
          <w:lang w:val="en-US"/>
        </w:rPr>
        <w:t>Grue, Jan</w:t>
      </w:r>
      <w:r w:rsidRPr="004B753F">
        <w:rPr>
          <w:lang w:val="en-US"/>
        </w:rPr>
        <w:t xml:space="preserve">. Discourse analysis and disability: Some topics and issues. </w:t>
      </w:r>
      <w:r w:rsidRPr="00BB5CD0">
        <w:rPr>
          <w:lang w:val="en-US"/>
        </w:rPr>
        <w:t xml:space="preserve">Discourse &amp; Society </w:t>
      </w:r>
      <w:r w:rsidRPr="004B753F">
        <w:rPr>
          <w:lang w:val="en-US"/>
        </w:rPr>
        <w:t>2011</w:t>
      </w:r>
      <w:proofErr w:type="gramStart"/>
      <w:r>
        <w:rPr>
          <w:lang w:val="en-US"/>
        </w:rPr>
        <w:t>;</w:t>
      </w:r>
      <w:r w:rsidRPr="00BB5CD0">
        <w:rPr>
          <w:lang w:val="en-US"/>
        </w:rPr>
        <w:t>22</w:t>
      </w:r>
      <w:proofErr w:type="gramEnd"/>
      <w:r w:rsidRPr="00BB5CD0">
        <w:rPr>
          <w:lang w:val="en-US"/>
        </w:rPr>
        <w:t xml:space="preserve"> (5):532-546.</w:t>
      </w:r>
    </w:p>
    <w:p w:rsidR="00CD5CAE" w:rsidRPr="00CD5CAE" w:rsidRDefault="00CD5CAE" w:rsidP="00CD5CAE">
      <w:pPr>
        <w:spacing w:after="60" w:line="240" w:lineRule="auto"/>
        <w:rPr>
          <w:lang w:val="en-US"/>
        </w:rPr>
      </w:pPr>
      <w:r w:rsidRPr="00BB5CD0">
        <w:rPr>
          <w:lang w:val="en-US"/>
        </w:rPr>
        <w:t xml:space="preserve">Haldar, Marit; Engebretsen, Eivind &amp; Album, Dag (2015). </w:t>
      </w:r>
      <w:r w:rsidRPr="009047C9">
        <w:rPr>
          <w:lang w:val="en-US"/>
        </w:rPr>
        <w:t xml:space="preserve">Legitimating the illegitimate: How doctors manage their knowledge of the prestige of diseases. </w:t>
      </w:r>
      <w:r w:rsidRPr="00CD5CAE">
        <w:rPr>
          <w:lang w:val="en-US"/>
        </w:rPr>
        <w:t xml:space="preserve">Health.  ISSN 1363-4593. . </w:t>
      </w:r>
      <w:proofErr w:type="spellStart"/>
      <w:proofErr w:type="gramStart"/>
      <w:r w:rsidRPr="00CD5CAE">
        <w:rPr>
          <w:lang w:val="en-US"/>
        </w:rPr>
        <w:t>doi</w:t>
      </w:r>
      <w:proofErr w:type="spellEnd"/>
      <w:proofErr w:type="gramEnd"/>
      <w:r w:rsidRPr="00CD5CAE">
        <w:rPr>
          <w:lang w:val="en-US"/>
        </w:rPr>
        <w:t>: 10.1177/1363459315596798</w:t>
      </w:r>
    </w:p>
    <w:p w:rsidR="00CD5CAE" w:rsidRPr="009047C9" w:rsidRDefault="00CD5CAE" w:rsidP="00CD5CAE">
      <w:pPr>
        <w:spacing w:after="60" w:line="240" w:lineRule="auto"/>
        <w:rPr>
          <w:lang w:val="en-US"/>
        </w:rPr>
      </w:pPr>
      <w:proofErr w:type="spellStart"/>
      <w:r w:rsidRPr="009047C9">
        <w:rPr>
          <w:lang w:val="en-US"/>
        </w:rPr>
        <w:t>Hesslow</w:t>
      </w:r>
      <w:proofErr w:type="spellEnd"/>
      <w:r w:rsidRPr="009047C9">
        <w:rPr>
          <w:lang w:val="en-US"/>
        </w:rPr>
        <w:t xml:space="preserve"> G. Do we need a concept of </w:t>
      </w:r>
      <w:proofErr w:type="gramStart"/>
      <w:r w:rsidRPr="009047C9">
        <w:rPr>
          <w:lang w:val="en-US"/>
        </w:rPr>
        <w:t>disease.</w:t>
      </w:r>
      <w:proofErr w:type="gramEnd"/>
      <w:r w:rsidRPr="009047C9">
        <w:rPr>
          <w:lang w:val="en-US"/>
        </w:rPr>
        <w:t xml:space="preserve"> </w:t>
      </w:r>
      <w:proofErr w:type="spellStart"/>
      <w:r w:rsidRPr="009047C9">
        <w:rPr>
          <w:lang w:val="en-US"/>
        </w:rPr>
        <w:t>Theor</w:t>
      </w:r>
      <w:proofErr w:type="spellEnd"/>
      <w:r w:rsidRPr="009047C9">
        <w:rPr>
          <w:lang w:val="en-US"/>
        </w:rPr>
        <w:t xml:space="preserve"> Med 1993; 14, 1-14.</w:t>
      </w:r>
    </w:p>
    <w:p w:rsidR="00CD5CAE" w:rsidRPr="009047C9" w:rsidRDefault="00CD5CAE" w:rsidP="00CD5CAE">
      <w:pPr>
        <w:spacing w:after="60" w:line="240" w:lineRule="auto"/>
        <w:rPr>
          <w:lang w:val="en-US"/>
        </w:rPr>
      </w:pPr>
      <w:r w:rsidRPr="009047C9">
        <w:rPr>
          <w:lang w:val="en-US"/>
        </w:rPr>
        <w:t>Hofmann B. Complexity of the concept of disease as shown through rival theoretical frameworks. Theoretical Medicine and Bioethics 2001; 22(3): 211-37.</w:t>
      </w:r>
    </w:p>
    <w:p w:rsidR="00CD5CAE" w:rsidRPr="009047C9" w:rsidRDefault="00CD5CAE" w:rsidP="00CD5CAE">
      <w:pPr>
        <w:spacing w:after="60" w:line="240" w:lineRule="auto"/>
        <w:rPr>
          <w:lang w:val="en-US"/>
        </w:rPr>
      </w:pPr>
      <w:r w:rsidRPr="009047C9">
        <w:rPr>
          <w:lang w:val="en-US"/>
        </w:rPr>
        <w:lastRenderedPageBreak/>
        <w:t>Hofmann B. Disease. In: ten Have H, ed. Encyclopedia of Global Bioethics: Springer International Publishing; 2015:1-8</w:t>
      </w:r>
    </w:p>
    <w:p w:rsidR="00CD5CAE" w:rsidRPr="009047C9" w:rsidRDefault="00CD5CAE" w:rsidP="00CD5CAE">
      <w:pPr>
        <w:spacing w:after="60" w:line="240" w:lineRule="auto"/>
        <w:rPr>
          <w:lang w:val="en-US"/>
        </w:rPr>
      </w:pPr>
      <w:r w:rsidRPr="009047C9">
        <w:t xml:space="preserve">Hofmann B. Hva er sykdom? </w:t>
      </w:r>
      <w:r w:rsidRPr="009047C9">
        <w:rPr>
          <w:lang w:val="en-US"/>
        </w:rPr>
        <w:t xml:space="preserve">Oslo: </w:t>
      </w:r>
      <w:proofErr w:type="spellStart"/>
      <w:r w:rsidRPr="009047C9">
        <w:rPr>
          <w:lang w:val="en-US"/>
        </w:rPr>
        <w:t>Gyldendal</w:t>
      </w:r>
      <w:proofErr w:type="spellEnd"/>
      <w:r w:rsidRPr="009047C9">
        <w:rPr>
          <w:lang w:val="en-US"/>
        </w:rPr>
        <w:t xml:space="preserve"> </w:t>
      </w:r>
      <w:proofErr w:type="spellStart"/>
      <w:r w:rsidR="002E5B44">
        <w:rPr>
          <w:lang w:val="en-US"/>
        </w:rPr>
        <w:t>A</w:t>
      </w:r>
      <w:r w:rsidRPr="009047C9">
        <w:rPr>
          <w:lang w:val="en-US"/>
        </w:rPr>
        <w:t>kademisk</w:t>
      </w:r>
      <w:proofErr w:type="spellEnd"/>
      <w:r w:rsidRPr="009047C9">
        <w:rPr>
          <w:lang w:val="en-US"/>
        </w:rPr>
        <w:t>, 2014. (229 sider)</w:t>
      </w:r>
    </w:p>
    <w:p w:rsidR="00CD5CAE" w:rsidRPr="009047C9" w:rsidRDefault="00CD5CAE" w:rsidP="00CD5CAE">
      <w:pPr>
        <w:spacing w:after="60" w:line="240" w:lineRule="auto"/>
        <w:rPr>
          <w:lang w:val="en-US"/>
        </w:rPr>
      </w:pPr>
      <w:r w:rsidRPr="009047C9">
        <w:rPr>
          <w:lang w:val="en-US"/>
        </w:rPr>
        <w:t xml:space="preserve">Hofmann B. Medicalization and </w:t>
      </w:r>
      <w:proofErr w:type="spellStart"/>
      <w:r w:rsidRPr="009047C9">
        <w:rPr>
          <w:lang w:val="en-US"/>
        </w:rPr>
        <w:t>overdiagnosis</w:t>
      </w:r>
      <w:proofErr w:type="spellEnd"/>
      <w:r w:rsidRPr="009047C9">
        <w:rPr>
          <w:lang w:val="en-US"/>
        </w:rPr>
        <w:t>: different but alike. Medicine, health care, and philosophy. 2016</w:t>
      </w:r>
      <w:proofErr w:type="gramStart"/>
      <w:r w:rsidRPr="009047C9">
        <w:rPr>
          <w:lang w:val="en-US"/>
        </w:rPr>
        <w:t>;19:253</w:t>
      </w:r>
      <w:proofErr w:type="gramEnd"/>
      <w:r w:rsidRPr="009047C9">
        <w:rPr>
          <w:lang w:val="en-US"/>
        </w:rPr>
        <w:t>-264.</w:t>
      </w:r>
    </w:p>
    <w:p w:rsidR="00CD5CAE" w:rsidRPr="009047C9" w:rsidRDefault="00CD5CAE" w:rsidP="00CD5CAE">
      <w:pPr>
        <w:spacing w:after="60" w:line="240" w:lineRule="auto"/>
        <w:rPr>
          <w:lang w:val="en-US"/>
        </w:rPr>
      </w:pPr>
      <w:r w:rsidRPr="009047C9">
        <w:rPr>
          <w:lang w:val="en-US"/>
        </w:rPr>
        <w:t>Hofmann B. Simplified models of the relationship between health and disease. Theoretical Medicine and Bioethics 2005; 26(5): 355 - 377.</w:t>
      </w:r>
    </w:p>
    <w:p w:rsidR="00CD5CAE" w:rsidRPr="009047C9" w:rsidRDefault="00CD5CAE" w:rsidP="00CD5CAE">
      <w:pPr>
        <w:spacing w:after="60" w:line="240" w:lineRule="auto"/>
        <w:rPr>
          <w:lang w:val="en-US"/>
        </w:rPr>
      </w:pPr>
      <w:r w:rsidRPr="009047C9">
        <w:rPr>
          <w:lang w:val="en-US"/>
        </w:rPr>
        <w:t>Hofmann B. Suffering: Harm to bodies, minds, and persons.  Handbook of the Philosophy of Medicine. Berlin: Springer; 2015.</w:t>
      </w:r>
    </w:p>
    <w:p w:rsidR="00CD5CAE" w:rsidRPr="009047C9" w:rsidRDefault="00CD5CAE" w:rsidP="00CD5CAE">
      <w:pPr>
        <w:spacing w:after="60" w:line="240" w:lineRule="auto"/>
        <w:rPr>
          <w:lang w:val="en-US"/>
        </w:rPr>
      </w:pPr>
      <w:proofErr w:type="spellStart"/>
      <w:r w:rsidRPr="009047C9">
        <w:rPr>
          <w:lang w:val="en-US"/>
        </w:rPr>
        <w:t>Khushf</w:t>
      </w:r>
      <w:proofErr w:type="spellEnd"/>
      <w:r w:rsidRPr="009047C9">
        <w:rPr>
          <w:lang w:val="en-US"/>
        </w:rPr>
        <w:t xml:space="preserve"> G. Expanding the horizon of reflection on health and disease. Journal of Medicine and Philosophy 1995; 20: 461-473.</w:t>
      </w:r>
    </w:p>
    <w:p w:rsidR="00CD5CAE" w:rsidRPr="009047C9" w:rsidRDefault="00CD5CAE" w:rsidP="00CD5CAE">
      <w:pPr>
        <w:spacing w:after="60" w:line="240" w:lineRule="auto"/>
        <w:rPr>
          <w:lang w:val="en-US"/>
        </w:rPr>
      </w:pPr>
      <w:proofErr w:type="spellStart"/>
      <w:r w:rsidRPr="009047C9">
        <w:rPr>
          <w:lang w:val="en-US"/>
        </w:rPr>
        <w:t>Kingma</w:t>
      </w:r>
      <w:proofErr w:type="spellEnd"/>
      <w:r w:rsidRPr="009047C9">
        <w:rPr>
          <w:lang w:val="en-US"/>
        </w:rPr>
        <w:t>, E. Naturalism about Health and Disease: Adding Nuance for Progress. Journal of Medicine &amp; Philosophy 2014; 39.6: 590-608.</w:t>
      </w:r>
    </w:p>
    <w:p w:rsidR="00CD5CAE" w:rsidRPr="009047C9" w:rsidRDefault="00CD5CAE" w:rsidP="00CD5CAE">
      <w:pPr>
        <w:spacing w:after="60" w:line="240" w:lineRule="auto"/>
        <w:rPr>
          <w:lang w:val="en-US"/>
        </w:rPr>
      </w:pPr>
      <w:r w:rsidRPr="009047C9">
        <w:rPr>
          <w:lang w:val="en-US"/>
        </w:rPr>
        <w:t>Leslie, Charles. "Medical pluralism in world perspective." Social Science &amp; Medicine. Part B: Medical Anthropology 14.4 (1980): 191-195.</w:t>
      </w:r>
    </w:p>
    <w:p w:rsidR="00CD5CAE" w:rsidRPr="009047C9" w:rsidRDefault="00CD5CAE" w:rsidP="00CD5CAE">
      <w:pPr>
        <w:spacing w:after="60" w:line="240" w:lineRule="auto"/>
      </w:pPr>
      <w:r w:rsidRPr="009047C9">
        <w:t>Lie, Anne Helene Kveim (2012). Sykehistorienes eksempelbruk, I: Ellen Marie Krefting; Anne Eriksen &amp; Anne Birgitte Rønning (red.</w:t>
      </w:r>
      <w:proofErr w:type="gramStart"/>
      <w:r w:rsidRPr="009047C9">
        <w:t>),  Eksemplets</w:t>
      </w:r>
      <w:proofErr w:type="gramEnd"/>
      <w:r w:rsidRPr="009047C9">
        <w:t xml:space="preserve"> makt. Kjønn, representasjon og autoritet fra antikken til i dag.  Spartacus.  ISBN 9788230400890.  Kapittel VIII.  s 203 – 229</w:t>
      </w:r>
    </w:p>
    <w:p w:rsidR="00CD5CAE" w:rsidRPr="009047C9" w:rsidRDefault="00CD5CAE" w:rsidP="00CD5CAE">
      <w:pPr>
        <w:spacing w:after="60" w:line="240" w:lineRule="auto"/>
        <w:rPr>
          <w:lang w:val="en-US"/>
        </w:rPr>
      </w:pPr>
      <w:r w:rsidRPr="00CD5CAE">
        <w:t xml:space="preserve">Lock, Margaret, and Patricia </w:t>
      </w:r>
      <w:proofErr w:type="spellStart"/>
      <w:r w:rsidRPr="00CD5CAE">
        <w:t>Kaufert</w:t>
      </w:r>
      <w:proofErr w:type="spellEnd"/>
      <w:r w:rsidRPr="00CD5CAE">
        <w:t xml:space="preserve">. "Menopause, </w:t>
      </w:r>
      <w:proofErr w:type="spellStart"/>
      <w:r w:rsidRPr="00CD5CAE">
        <w:t>local</w:t>
      </w:r>
      <w:proofErr w:type="spellEnd"/>
      <w:r w:rsidRPr="00CD5CAE">
        <w:t xml:space="preserve"> </w:t>
      </w:r>
      <w:proofErr w:type="spellStart"/>
      <w:r w:rsidRPr="00CD5CAE">
        <w:t>biologies</w:t>
      </w:r>
      <w:proofErr w:type="spellEnd"/>
      <w:r w:rsidRPr="00CD5CAE">
        <w:t xml:space="preserve">, and </w:t>
      </w:r>
      <w:proofErr w:type="spellStart"/>
      <w:r w:rsidRPr="00CD5CAE">
        <w:t>cultures</w:t>
      </w:r>
      <w:proofErr w:type="spellEnd"/>
      <w:r w:rsidRPr="00CD5CAE">
        <w:t xml:space="preserve"> </w:t>
      </w:r>
      <w:proofErr w:type="spellStart"/>
      <w:r w:rsidRPr="00CD5CAE">
        <w:t>of</w:t>
      </w:r>
      <w:proofErr w:type="spellEnd"/>
      <w:r w:rsidRPr="00CD5CAE">
        <w:t xml:space="preserve"> </w:t>
      </w:r>
      <w:proofErr w:type="spellStart"/>
      <w:r w:rsidRPr="00CD5CAE">
        <w:t>aging</w:t>
      </w:r>
      <w:proofErr w:type="spellEnd"/>
      <w:r w:rsidRPr="00CD5CAE">
        <w:t xml:space="preserve">." </w:t>
      </w:r>
      <w:r w:rsidRPr="009047C9">
        <w:rPr>
          <w:lang w:val="en-US"/>
        </w:rPr>
        <w:t>American Journal of Human Biology 13.4 (2001): 494-504.</w:t>
      </w:r>
    </w:p>
    <w:p w:rsidR="00CD5CAE" w:rsidRPr="009047C9" w:rsidRDefault="00CD5CAE" w:rsidP="00CD5CAE">
      <w:pPr>
        <w:spacing w:after="60" w:line="240" w:lineRule="auto"/>
        <w:rPr>
          <w:lang w:val="en-US"/>
        </w:rPr>
      </w:pPr>
      <w:proofErr w:type="spellStart"/>
      <w:r w:rsidRPr="009047C9">
        <w:rPr>
          <w:lang w:val="en-US"/>
        </w:rPr>
        <w:t>Marinker</w:t>
      </w:r>
      <w:proofErr w:type="spellEnd"/>
      <w:r w:rsidRPr="009047C9">
        <w:rPr>
          <w:lang w:val="en-US"/>
        </w:rPr>
        <w:t>, M. Why make people patients? J Med Ethics 1975; 1(2), 81-84.</w:t>
      </w:r>
    </w:p>
    <w:p w:rsidR="00CD5CAE" w:rsidRPr="009047C9" w:rsidRDefault="00CD5CAE" w:rsidP="00CD5CAE">
      <w:pPr>
        <w:spacing w:after="60" w:line="240" w:lineRule="auto"/>
        <w:rPr>
          <w:lang w:val="en-US"/>
        </w:rPr>
      </w:pPr>
      <w:proofErr w:type="spellStart"/>
      <w:r w:rsidRPr="009047C9">
        <w:rPr>
          <w:lang w:val="en-US"/>
        </w:rPr>
        <w:lastRenderedPageBreak/>
        <w:t>Mol</w:t>
      </w:r>
      <w:proofErr w:type="spellEnd"/>
      <w:r w:rsidRPr="009047C9">
        <w:rPr>
          <w:lang w:val="en-US"/>
        </w:rPr>
        <w:t>, Annemarie. "The logic of care." Health and the problem of Patient Choice (2008).</w:t>
      </w:r>
    </w:p>
    <w:p w:rsidR="00CD5CAE" w:rsidRPr="009047C9" w:rsidRDefault="00CD5CAE" w:rsidP="00CD5CAE">
      <w:pPr>
        <w:spacing w:after="60" w:line="240" w:lineRule="auto"/>
        <w:rPr>
          <w:lang w:val="en-US"/>
        </w:rPr>
      </w:pPr>
      <w:proofErr w:type="spellStart"/>
      <w:r w:rsidRPr="009047C9">
        <w:rPr>
          <w:lang w:val="en-US"/>
        </w:rPr>
        <w:t>Mol</w:t>
      </w:r>
      <w:proofErr w:type="spellEnd"/>
      <w:r w:rsidRPr="009047C9">
        <w:rPr>
          <w:lang w:val="en-US"/>
        </w:rPr>
        <w:t>, Annemarie. The body multiple: Ontology in medical practice. Duke University Press, 2002.</w:t>
      </w:r>
    </w:p>
    <w:p w:rsidR="00CD5CAE" w:rsidRPr="009047C9" w:rsidRDefault="00CD5CAE" w:rsidP="00CD5CAE">
      <w:pPr>
        <w:spacing w:after="60" w:line="240" w:lineRule="auto"/>
        <w:rPr>
          <w:lang w:val="en-US"/>
        </w:rPr>
      </w:pPr>
      <w:r w:rsidRPr="009047C9">
        <w:rPr>
          <w:lang w:val="en-US"/>
        </w:rPr>
        <w:t>Nord E. Disability weights in the Global Burden of Disease 2010: unclear meaning and overstatement of international agreement. Health Policy, 2013; 111(1), 99-104.</w:t>
      </w:r>
    </w:p>
    <w:p w:rsidR="00CD5CAE" w:rsidRPr="009047C9" w:rsidRDefault="00CD5CAE" w:rsidP="00CD5CAE">
      <w:pPr>
        <w:spacing w:after="60" w:line="240" w:lineRule="auto"/>
        <w:rPr>
          <w:lang w:val="en-US"/>
        </w:rPr>
      </w:pPr>
      <w:r w:rsidRPr="009047C9">
        <w:rPr>
          <w:lang w:val="en-US"/>
        </w:rPr>
        <w:t xml:space="preserve">Nordby H. The analytic-synthetic distinction and conceptual analysis of basic health concepts. Medicine Health Care and Philosophy 2006; 9: 169–180. </w:t>
      </w:r>
    </w:p>
    <w:p w:rsidR="00CD5CAE" w:rsidRPr="009047C9" w:rsidRDefault="00CD5CAE" w:rsidP="00CD5CAE">
      <w:pPr>
        <w:spacing w:after="60" w:line="240" w:lineRule="auto"/>
        <w:rPr>
          <w:lang w:val="en-US"/>
        </w:rPr>
      </w:pPr>
      <w:proofErr w:type="spellStart"/>
      <w:r w:rsidRPr="009047C9">
        <w:rPr>
          <w:lang w:val="en-US"/>
        </w:rPr>
        <w:t>Nordenfelt</w:t>
      </w:r>
      <w:proofErr w:type="spellEnd"/>
      <w:r w:rsidRPr="009047C9">
        <w:rPr>
          <w:lang w:val="en-US"/>
        </w:rPr>
        <w:t xml:space="preserve"> L. The concepts of health and illness revisited. Med Health Care Philos. 2007</w:t>
      </w:r>
      <w:proofErr w:type="gramStart"/>
      <w:r w:rsidRPr="009047C9">
        <w:rPr>
          <w:lang w:val="en-US"/>
        </w:rPr>
        <w:t>;10</w:t>
      </w:r>
      <w:proofErr w:type="gramEnd"/>
      <w:r w:rsidRPr="009047C9">
        <w:rPr>
          <w:lang w:val="en-US"/>
        </w:rPr>
        <w:t>(1):5-10.</w:t>
      </w:r>
    </w:p>
    <w:p w:rsidR="00CD5CAE" w:rsidRPr="009047C9" w:rsidRDefault="00CD5CAE" w:rsidP="00CD5CAE">
      <w:pPr>
        <w:spacing w:after="60" w:line="240" w:lineRule="auto"/>
        <w:rPr>
          <w:lang w:val="en-US"/>
        </w:rPr>
      </w:pPr>
      <w:proofErr w:type="spellStart"/>
      <w:r w:rsidRPr="009047C9">
        <w:rPr>
          <w:lang w:val="en-US"/>
        </w:rPr>
        <w:t>Rabinow</w:t>
      </w:r>
      <w:proofErr w:type="spellEnd"/>
      <w:r w:rsidRPr="009047C9">
        <w:rPr>
          <w:lang w:val="en-US"/>
        </w:rPr>
        <w:t xml:space="preserve">, Paul. Artificiality and enlightenment: from sociobiology to </w:t>
      </w:r>
      <w:proofErr w:type="spellStart"/>
      <w:r w:rsidRPr="009047C9">
        <w:rPr>
          <w:lang w:val="en-US"/>
        </w:rPr>
        <w:t>biosociality</w:t>
      </w:r>
      <w:proofErr w:type="spellEnd"/>
      <w:r w:rsidRPr="009047C9">
        <w:rPr>
          <w:lang w:val="en-US"/>
        </w:rPr>
        <w:t>. Blackwell Publishing Ltd, 2005.</w:t>
      </w:r>
    </w:p>
    <w:p w:rsidR="00CD5CAE" w:rsidRPr="00EF2023" w:rsidRDefault="00CD5CAE" w:rsidP="00CD5CAE">
      <w:pPr>
        <w:spacing w:after="60" w:line="240" w:lineRule="auto"/>
        <w:rPr>
          <w:lang w:val="en-US"/>
        </w:rPr>
      </w:pPr>
      <w:r w:rsidRPr="00EF2023">
        <w:rPr>
          <w:lang w:val="en"/>
        </w:rPr>
        <w:t>Rose, N</w:t>
      </w:r>
      <w:r w:rsidR="00205317">
        <w:rPr>
          <w:lang w:val="en"/>
        </w:rPr>
        <w:t>.</w:t>
      </w:r>
      <w:r w:rsidRPr="00EF2023">
        <w:rPr>
          <w:lang w:val="en"/>
        </w:rPr>
        <w:t xml:space="preserve">  '</w:t>
      </w:r>
      <w:r w:rsidRPr="00EF2023">
        <w:rPr>
          <w:rStyle w:val="harvardtitle"/>
          <w:rFonts w:cs="Arial"/>
          <w:lang w:val="en"/>
        </w:rPr>
        <w:t>Normality and pathology in a biomedical age</w:t>
      </w:r>
      <w:r w:rsidRPr="00EF2023">
        <w:rPr>
          <w:lang w:val="en"/>
        </w:rPr>
        <w:t xml:space="preserve">' </w:t>
      </w:r>
      <w:r w:rsidRPr="00EF2023">
        <w:rPr>
          <w:rStyle w:val="Emphasis"/>
          <w:rFonts w:cs="Arial"/>
          <w:lang w:val="en"/>
        </w:rPr>
        <w:t>SOCIOLOGICAL REVIEW</w:t>
      </w:r>
      <w:r w:rsidRPr="00EF2023">
        <w:rPr>
          <w:lang w:val="en"/>
        </w:rPr>
        <w:t xml:space="preserve">, </w:t>
      </w:r>
      <w:r w:rsidR="00205317">
        <w:rPr>
          <w:lang w:val="en"/>
        </w:rPr>
        <w:t xml:space="preserve">2009; </w:t>
      </w:r>
      <w:r w:rsidRPr="00EF2023">
        <w:rPr>
          <w:lang w:val="en"/>
        </w:rPr>
        <w:t>57, SUPPL. 2</w:t>
      </w:r>
      <w:r w:rsidR="00205317">
        <w:rPr>
          <w:lang w:val="en"/>
        </w:rPr>
        <w:t>:</w:t>
      </w:r>
      <w:r w:rsidRPr="00EF2023">
        <w:rPr>
          <w:lang w:val="en"/>
        </w:rPr>
        <w:t xml:space="preserve"> 66 - 83.</w:t>
      </w:r>
    </w:p>
    <w:p w:rsidR="00CD5CAE" w:rsidRPr="009047C9" w:rsidRDefault="00CD5CAE" w:rsidP="00CD5CAE">
      <w:pPr>
        <w:spacing w:after="60" w:line="240" w:lineRule="auto"/>
        <w:rPr>
          <w:lang w:val="en-US"/>
        </w:rPr>
      </w:pPr>
      <w:proofErr w:type="spellStart"/>
      <w:r w:rsidRPr="009047C9">
        <w:rPr>
          <w:lang w:val="en-US"/>
        </w:rPr>
        <w:t>Räikkä</w:t>
      </w:r>
      <w:proofErr w:type="spellEnd"/>
      <w:r w:rsidRPr="009047C9">
        <w:rPr>
          <w:lang w:val="en-US"/>
        </w:rPr>
        <w:t xml:space="preserve"> J. The social concept of disease. Theoretical Medicine 1996</w:t>
      </w:r>
      <w:proofErr w:type="gramStart"/>
      <w:r w:rsidRPr="009047C9">
        <w:rPr>
          <w:lang w:val="en-US"/>
        </w:rPr>
        <w:t>;17</w:t>
      </w:r>
      <w:proofErr w:type="gramEnd"/>
      <w:r w:rsidRPr="009047C9">
        <w:rPr>
          <w:lang w:val="en-US"/>
        </w:rPr>
        <w:t>(4): 353-61. (8 sider)</w:t>
      </w:r>
    </w:p>
    <w:p w:rsidR="00CD5CAE" w:rsidRPr="00CD5CAE" w:rsidRDefault="00CD5CAE" w:rsidP="00CD5CAE">
      <w:pPr>
        <w:spacing w:after="60" w:line="240" w:lineRule="auto"/>
        <w:rPr>
          <w:lang w:val="en-US"/>
        </w:rPr>
      </w:pPr>
      <w:proofErr w:type="spellStart"/>
      <w:r w:rsidRPr="009047C9">
        <w:rPr>
          <w:lang w:val="en-US"/>
        </w:rPr>
        <w:t>Risør</w:t>
      </w:r>
      <w:proofErr w:type="spellEnd"/>
      <w:r w:rsidRPr="009047C9">
        <w:rPr>
          <w:lang w:val="en-US"/>
        </w:rPr>
        <w:t xml:space="preserve">, Mette Bech. "Illness explanations among patients with medically unexplained symptoms: different idioms for different contexts." </w:t>
      </w:r>
      <w:r w:rsidRPr="00CD5CAE">
        <w:rPr>
          <w:lang w:val="en-US"/>
        </w:rPr>
        <w:t>Health</w:t>
      </w:r>
      <w:r w:rsidR="00205317">
        <w:rPr>
          <w:lang w:val="en-US"/>
        </w:rPr>
        <w:t xml:space="preserve"> 2009;</w:t>
      </w:r>
      <w:r w:rsidRPr="00CD5CAE">
        <w:rPr>
          <w:lang w:val="en-US"/>
        </w:rPr>
        <w:t xml:space="preserve"> 13.5: 505-521.</w:t>
      </w:r>
    </w:p>
    <w:p w:rsidR="00CD5CAE" w:rsidRPr="009047C9" w:rsidRDefault="00CD5CAE" w:rsidP="00CD5CAE">
      <w:pPr>
        <w:spacing w:after="60" w:line="240" w:lineRule="auto"/>
        <w:rPr>
          <w:lang w:val="en-US"/>
        </w:rPr>
      </w:pPr>
      <w:proofErr w:type="spellStart"/>
      <w:r w:rsidRPr="009047C9">
        <w:rPr>
          <w:lang w:val="en-US"/>
        </w:rPr>
        <w:t>Scheper</w:t>
      </w:r>
      <w:proofErr w:type="spellEnd"/>
      <w:r w:rsidRPr="009047C9">
        <w:rPr>
          <w:lang w:val="en-US"/>
        </w:rPr>
        <w:t>‐Hughes, Nancy, and Margaret M. Lock. "The mindful body: A prolegomenon to future work in medical anthropology." Medi</w:t>
      </w:r>
      <w:r w:rsidR="00205317">
        <w:rPr>
          <w:lang w:val="en-US"/>
        </w:rPr>
        <w:t xml:space="preserve">cal anthropology quarterly </w:t>
      </w:r>
      <w:r w:rsidR="00205317" w:rsidRPr="009047C9">
        <w:rPr>
          <w:lang w:val="en-US"/>
        </w:rPr>
        <w:t>1987</w:t>
      </w:r>
      <w:r w:rsidR="00205317">
        <w:rPr>
          <w:lang w:val="en-US"/>
        </w:rPr>
        <w:t>; 1.1</w:t>
      </w:r>
      <w:r w:rsidRPr="009047C9">
        <w:rPr>
          <w:lang w:val="en-US"/>
        </w:rPr>
        <w:t>: 6-41.</w:t>
      </w:r>
    </w:p>
    <w:p w:rsidR="00CD5CAE" w:rsidRPr="009047C9" w:rsidRDefault="00CD5CAE" w:rsidP="00CD5CAE">
      <w:pPr>
        <w:spacing w:after="60" w:line="240" w:lineRule="auto"/>
        <w:rPr>
          <w:lang w:val="en-US"/>
        </w:rPr>
      </w:pPr>
      <w:r w:rsidRPr="009047C9">
        <w:rPr>
          <w:lang w:val="en-US"/>
        </w:rPr>
        <w:t>Smith R. In search of “</w:t>
      </w:r>
      <w:proofErr w:type="spellStart"/>
      <w:r w:rsidRPr="009047C9">
        <w:rPr>
          <w:lang w:val="en-US"/>
        </w:rPr>
        <w:t>non­disease</w:t>
      </w:r>
      <w:proofErr w:type="spellEnd"/>
      <w:r w:rsidRPr="009047C9">
        <w:rPr>
          <w:lang w:val="en-US"/>
        </w:rPr>
        <w:t>”. BMJ 2002</w:t>
      </w:r>
      <w:proofErr w:type="gramStart"/>
      <w:r w:rsidRPr="009047C9">
        <w:rPr>
          <w:lang w:val="en-US"/>
        </w:rPr>
        <w:t>;324</w:t>
      </w:r>
      <w:proofErr w:type="gramEnd"/>
      <w:r w:rsidRPr="009047C9">
        <w:rPr>
          <w:lang w:val="en-US"/>
        </w:rPr>
        <w:t>;883-5.</w:t>
      </w:r>
    </w:p>
    <w:p w:rsidR="00B72ED0" w:rsidRDefault="00B72ED0" w:rsidP="00B72ED0">
      <w:pPr>
        <w:spacing w:after="60" w:line="240" w:lineRule="auto"/>
        <w:rPr>
          <w:lang w:val="en-US"/>
        </w:rPr>
      </w:pPr>
      <w:r w:rsidRPr="00B72ED0">
        <w:rPr>
          <w:lang w:val="en-US"/>
        </w:rPr>
        <w:lastRenderedPageBreak/>
        <w:t>Solbrække, K. N., Søiland</w:t>
      </w:r>
      <w:r w:rsidR="00205317">
        <w:rPr>
          <w:lang w:val="en-US"/>
        </w:rPr>
        <w:t xml:space="preserve">, H., Lode, K. </w:t>
      </w:r>
      <w:proofErr w:type="spellStart"/>
      <w:r w:rsidR="00205317">
        <w:rPr>
          <w:lang w:val="en-US"/>
        </w:rPr>
        <w:t>Gripsrud</w:t>
      </w:r>
      <w:proofErr w:type="spellEnd"/>
      <w:r w:rsidR="00205317">
        <w:rPr>
          <w:lang w:val="en-US"/>
        </w:rPr>
        <w:t>, B. H.</w:t>
      </w:r>
      <w:r w:rsidRPr="00B72ED0">
        <w:rPr>
          <w:lang w:val="en-US"/>
        </w:rPr>
        <w:t xml:space="preserve"> Our Genes, Our Selves: Hereditary breast cancer and biological citizenship in Norway. Medicine, Health Care and Philosophy.  </w:t>
      </w:r>
      <w:r w:rsidR="00205317" w:rsidRPr="00B72ED0">
        <w:rPr>
          <w:lang w:val="en-US"/>
        </w:rPr>
        <w:t>2017</w:t>
      </w:r>
      <w:r w:rsidR="00205317">
        <w:rPr>
          <w:lang w:val="en-US"/>
        </w:rPr>
        <w:t xml:space="preserve">; </w:t>
      </w:r>
      <w:r w:rsidRPr="00B72ED0">
        <w:rPr>
          <w:lang w:val="en-US"/>
        </w:rPr>
        <w:t>20(1) 89-103.</w:t>
      </w:r>
    </w:p>
    <w:p w:rsidR="00CD5CAE" w:rsidRPr="00CD5CAE" w:rsidRDefault="00CD5CAE" w:rsidP="00CD5CAE">
      <w:pPr>
        <w:spacing w:after="60" w:line="240" w:lineRule="auto"/>
        <w:rPr>
          <w:lang w:val="en-US"/>
        </w:rPr>
      </w:pPr>
      <w:r w:rsidRPr="009047C9">
        <w:rPr>
          <w:lang w:val="en-US"/>
        </w:rPr>
        <w:t xml:space="preserve">Sontag S. Illness as Metaphor. New York: Farrar. Strays and Giroux, 1978. </w:t>
      </w:r>
      <w:r w:rsidRPr="00CD5CAE">
        <w:rPr>
          <w:lang w:val="en-US"/>
        </w:rPr>
        <w:t>(35 sider)</w:t>
      </w:r>
    </w:p>
    <w:p w:rsidR="00CD5CAE" w:rsidRPr="006A0B33" w:rsidRDefault="00CD5CAE" w:rsidP="00CD5CAE">
      <w:pPr>
        <w:spacing w:after="60" w:line="240" w:lineRule="auto"/>
        <w:rPr>
          <w:lang w:val="fr-FR"/>
        </w:rPr>
      </w:pPr>
      <w:r w:rsidRPr="009047C9">
        <w:rPr>
          <w:lang w:val="en-US"/>
        </w:rPr>
        <w:t xml:space="preserve">Tucker, Ian. "Towards the multiple body." </w:t>
      </w:r>
      <w:r w:rsidRPr="006A0B33">
        <w:rPr>
          <w:lang w:val="fr-FR"/>
        </w:rPr>
        <w:t>Theory &amp; Psychology 16.3 (2006): 433-440.</w:t>
      </w:r>
    </w:p>
    <w:p w:rsidR="00CD5CAE" w:rsidRPr="009047C9" w:rsidRDefault="00CD5CAE" w:rsidP="00CD5CAE">
      <w:pPr>
        <w:spacing w:after="60" w:line="240" w:lineRule="auto"/>
        <w:rPr>
          <w:lang w:val="en-US"/>
        </w:rPr>
      </w:pPr>
      <w:proofErr w:type="spellStart"/>
      <w:r w:rsidRPr="006A0B33">
        <w:rPr>
          <w:lang w:val="fr-FR"/>
        </w:rPr>
        <w:t>Tveråmo</w:t>
      </w:r>
      <w:proofErr w:type="spellEnd"/>
      <w:r w:rsidRPr="006A0B33">
        <w:rPr>
          <w:lang w:val="fr-FR"/>
        </w:rPr>
        <w:t xml:space="preserve"> A et al. </w:t>
      </w:r>
      <w:r w:rsidRPr="00BB5CD0">
        <w:t xml:space="preserve">En integrert forståelse av subjektive lidelser i klinisk praksis. </w:t>
      </w:r>
      <w:proofErr w:type="spellStart"/>
      <w:r w:rsidRPr="009047C9">
        <w:rPr>
          <w:lang w:val="en-US"/>
        </w:rPr>
        <w:t>Tidsskr</w:t>
      </w:r>
      <w:proofErr w:type="spellEnd"/>
      <w:r w:rsidRPr="009047C9">
        <w:rPr>
          <w:lang w:val="en-US"/>
        </w:rPr>
        <w:t xml:space="preserve"> </w:t>
      </w:r>
      <w:proofErr w:type="gramStart"/>
      <w:r w:rsidRPr="009047C9">
        <w:rPr>
          <w:lang w:val="en-US"/>
        </w:rPr>
        <w:t>Nor</w:t>
      </w:r>
      <w:proofErr w:type="gramEnd"/>
      <w:r w:rsidRPr="009047C9">
        <w:rPr>
          <w:lang w:val="en-US"/>
        </w:rPr>
        <w:t xml:space="preserve"> </w:t>
      </w:r>
      <w:proofErr w:type="spellStart"/>
      <w:r w:rsidRPr="009047C9">
        <w:rPr>
          <w:lang w:val="en-US"/>
        </w:rPr>
        <w:t>Legeforen</w:t>
      </w:r>
      <w:proofErr w:type="spellEnd"/>
      <w:r w:rsidRPr="009047C9">
        <w:rPr>
          <w:lang w:val="en-US"/>
        </w:rPr>
        <w:t xml:space="preserve"> </w:t>
      </w:r>
      <w:proofErr w:type="spellStart"/>
      <w:r w:rsidRPr="009047C9">
        <w:rPr>
          <w:lang w:val="en-US"/>
        </w:rPr>
        <w:t>nr</w:t>
      </w:r>
      <w:proofErr w:type="spellEnd"/>
      <w:r w:rsidRPr="009047C9">
        <w:rPr>
          <w:lang w:val="en-US"/>
        </w:rPr>
        <w:t>. 22, 2014; 134: 2174 – 6</w:t>
      </w:r>
    </w:p>
    <w:p w:rsidR="00CD5CAE" w:rsidRPr="009047C9" w:rsidRDefault="00CD5CAE" w:rsidP="00CD5CAE">
      <w:pPr>
        <w:spacing w:after="60" w:line="240" w:lineRule="auto"/>
        <w:rPr>
          <w:lang w:val="en-US"/>
        </w:rPr>
      </w:pPr>
      <w:proofErr w:type="spellStart"/>
      <w:r w:rsidRPr="009047C9">
        <w:rPr>
          <w:lang w:val="en-US"/>
        </w:rPr>
        <w:t>Undeland</w:t>
      </w:r>
      <w:proofErr w:type="spellEnd"/>
      <w:r w:rsidRPr="009047C9">
        <w:rPr>
          <w:lang w:val="en-US"/>
        </w:rPr>
        <w:t xml:space="preserve"> M, </w:t>
      </w:r>
      <w:proofErr w:type="spellStart"/>
      <w:r w:rsidRPr="009047C9">
        <w:rPr>
          <w:lang w:val="en-US"/>
        </w:rPr>
        <w:t>Malterud</w:t>
      </w:r>
      <w:proofErr w:type="spellEnd"/>
      <w:r w:rsidRPr="009047C9">
        <w:rPr>
          <w:lang w:val="en-US"/>
        </w:rPr>
        <w:t xml:space="preserve"> K. The fibromyalgia diagnosis - hardly helpful for the patients? Scandinavian Journal of Primary Health Care, 2007; 25: 250-255.</w:t>
      </w:r>
    </w:p>
    <w:p w:rsidR="00CD5CAE" w:rsidRPr="009047C9" w:rsidRDefault="00CD5CAE" w:rsidP="00CD5CAE">
      <w:pPr>
        <w:spacing w:after="60" w:line="240" w:lineRule="auto"/>
        <w:rPr>
          <w:lang w:val="en-US"/>
        </w:rPr>
      </w:pPr>
      <w:r w:rsidRPr="009047C9">
        <w:rPr>
          <w:lang w:val="en-US"/>
        </w:rPr>
        <w:t>Wakefield JC. The Concept of Mental Disorder. American Psychologist, 1992; 47: 373–388.</w:t>
      </w:r>
    </w:p>
    <w:p w:rsidR="00CD5CAE" w:rsidRPr="009047C9" w:rsidRDefault="00CD5CAE" w:rsidP="00CD5CAE">
      <w:pPr>
        <w:spacing w:after="60" w:line="240" w:lineRule="auto"/>
        <w:rPr>
          <w:lang w:val="en-US"/>
        </w:rPr>
      </w:pPr>
      <w:proofErr w:type="spellStart"/>
      <w:r w:rsidRPr="009047C9">
        <w:rPr>
          <w:lang w:val="en-US"/>
        </w:rPr>
        <w:t>Worall</w:t>
      </w:r>
      <w:proofErr w:type="spellEnd"/>
      <w:r w:rsidRPr="009047C9">
        <w:rPr>
          <w:lang w:val="en-US"/>
        </w:rPr>
        <w:t xml:space="preserve"> J, </w:t>
      </w:r>
      <w:proofErr w:type="spellStart"/>
      <w:r w:rsidRPr="009047C9">
        <w:rPr>
          <w:lang w:val="en-US"/>
        </w:rPr>
        <w:t>Worall</w:t>
      </w:r>
      <w:proofErr w:type="spellEnd"/>
      <w:r w:rsidRPr="009047C9">
        <w:rPr>
          <w:lang w:val="en-US"/>
        </w:rPr>
        <w:t xml:space="preserve"> J. Defining disease: much ado about nothing?' </w:t>
      </w:r>
      <w:proofErr w:type="spellStart"/>
      <w:r w:rsidRPr="009047C9">
        <w:rPr>
          <w:lang w:val="en-US"/>
        </w:rPr>
        <w:t>Analecta</w:t>
      </w:r>
      <w:proofErr w:type="spellEnd"/>
      <w:r w:rsidRPr="009047C9">
        <w:rPr>
          <w:lang w:val="en-US"/>
        </w:rPr>
        <w:t xml:space="preserve"> </w:t>
      </w:r>
      <w:proofErr w:type="spellStart"/>
      <w:r w:rsidRPr="009047C9">
        <w:rPr>
          <w:lang w:val="en-US"/>
        </w:rPr>
        <w:t>Husserliana</w:t>
      </w:r>
      <w:proofErr w:type="spellEnd"/>
      <w:r w:rsidRPr="009047C9">
        <w:rPr>
          <w:lang w:val="en-US"/>
        </w:rPr>
        <w:t xml:space="preserve"> 2001; 72, 33-55.</w:t>
      </w:r>
    </w:p>
    <w:p w:rsidR="00CD5CAE" w:rsidRPr="00783DDF" w:rsidRDefault="00CD5CAE" w:rsidP="009F5F96">
      <w:pPr>
        <w:pStyle w:val="Heading1"/>
        <w:rPr>
          <w:lang w:val="en-US"/>
        </w:rPr>
      </w:pPr>
      <w:r w:rsidRPr="00783DDF">
        <w:rPr>
          <w:lang w:val="en-US"/>
        </w:rPr>
        <w:t>Additional reading:</w:t>
      </w:r>
    </w:p>
    <w:p w:rsidR="00FB05DD" w:rsidRPr="00EF2023" w:rsidRDefault="00FB05DD" w:rsidP="00EF40F5">
      <w:pPr>
        <w:spacing w:after="0" w:line="240" w:lineRule="auto"/>
        <w:rPr>
          <w:rFonts w:eastAsia="Times New Roman"/>
          <w:szCs w:val="24"/>
          <w:lang w:val="en-US" w:eastAsia="nb-NO"/>
        </w:rPr>
      </w:pPr>
      <w:proofErr w:type="spellStart"/>
      <w:r w:rsidRPr="00EF2023">
        <w:rPr>
          <w:rFonts w:eastAsia="Times New Roman"/>
          <w:szCs w:val="24"/>
          <w:lang w:val="en-US" w:eastAsia="nb-NO"/>
        </w:rPr>
        <w:t>Aronowitz</w:t>
      </w:r>
      <w:proofErr w:type="spellEnd"/>
      <w:r w:rsidRPr="00EF2023">
        <w:rPr>
          <w:rFonts w:eastAsia="Times New Roman"/>
          <w:szCs w:val="24"/>
          <w:lang w:val="en-US" w:eastAsia="nb-NO"/>
        </w:rPr>
        <w:t xml:space="preserve"> RA. Making Sense of Illness: Science, Society, and Disease. Cambridge University Press, Cambridge, U.K. and New York, 1998</w:t>
      </w:r>
    </w:p>
    <w:p w:rsidR="00FB05DD" w:rsidRPr="00EF2023" w:rsidRDefault="00FB05DD" w:rsidP="00EF40F5">
      <w:pPr>
        <w:spacing w:after="0" w:line="240" w:lineRule="auto"/>
        <w:rPr>
          <w:rFonts w:eastAsia="Times New Roman"/>
          <w:szCs w:val="24"/>
          <w:lang w:val="en-US" w:eastAsia="nb-NO"/>
        </w:rPr>
      </w:pPr>
      <w:r w:rsidRPr="00EF2023">
        <w:rPr>
          <w:rFonts w:eastAsia="Times New Roman"/>
          <w:szCs w:val="24"/>
          <w:lang w:val="en-US" w:eastAsia="nb-NO"/>
        </w:rPr>
        <w:t>Conrad P, Barker KK. The Social Construction of Illness: Key Insights and Policy Implications. Journal of Health and Social Behavior. 2010</w:t>
      </w:r>
      <w:proofErr w:type="gramStart"/>
      <w:r w:rsidRPr="00EF2023">
        <w:rPr>
          <w:rFonts w:eastAsia="Times New Roman"/>
          <w:szCs w:val="24"/>
          <w:lang w:val="en-US" w:eastAsia="nb-NO"/>
        </w:rPr>
        <w:t>;51</w:t>
      </w:r>
      <w:proofErr w:type="gramEnd"/>
      <w:r w:rsidRPr="00EF2023">
        <w:rPr>
          <w:rFonts w:eastAsia="Times New Roman"/>
          <w:szCs w:val="24"/>
          <w:lang w:val="en-US" w:eastAsia="nb-NO"/>
        </w:rPr>
        <w:t xml:space="preserve">(1 </w:t>
      </w:r>
      <w:proofErr w:type="spellStart"/>
      <w:r w:rsidRPr="00EF2023">
        <w:rPr>
          <w:rFonts w:eastAsia="Times New Roman"/>
          <w:szCs w:val="24"/>
          <w:lang w:val="en-US" w:eastAsia="nb-NO"/>
        </w:rPr>
        <w:t>suppl</w:t>
      </w:r>
      <w:proofErr w:type="spellEnd"/>
      <w:r w:rsidRPr="00EF2023">
        <w:rPr>
          <w:rFonts w:eastAsia="Times New Roman"/>
          <w:szCs w:val="24"/>
          <w:lang w:val="en-US" w:eastAsia="nb-NO"/>
        </w:rPr>
        <w:t>):S67-S79.</w:t>
      </w:r>
    </w:p>
    <w:p w:rsidR="00FB05DD" w:rsidRPr="00EF2023" w:rsidRDefault="00FB05DD" w:rsidP="00EF40F5">
      <w:pPr>
        <w:spacing w:after="0" w:line="240" w:lineRule="auto"/>
        <w:rPr>
          <w:rFonts w:eastAsia="Times New Roman"/>
          <w:szCs w:val="24"/>
          <w:lang w:val="en-US" w:eastAsia="nb-NO"/>
        </w:rPr>
      </w:pPr>
      <w:r w:rsidRPr="00F14A07">
        <w:rPr>
          <w:rFonts w:eastAsia="Times New Roman"/>
          <w:szCs w:val="24"/>
          <w:lang w:val="en-US" w:eastAsia="nb-NO"/>
        </w:rPr>
        <w:t xml:space="preserve">Eriksen TE, Kerry R, Mumford S, et al. </w:t>
      </w:r>
      <w:r w:rsidRPr="00EF2023">
        <w:rPr>
          <w:rFonts w:eastAsia="Times New Roman"/>
          <w:szCs w:val="24"/>
          <w:lang w:val="en-US" w:eastAsia="nb-NO"/>
        </w:rPr>
        <w:t xml:space="preserve">At the borders of medical reasoning: </w:t>
      </w:r>
      <w:proofErr w:type="spellStart"/>
      <w:r w:rsidRPr="00EF2023">
        <w:rPr>
          <w:rFonts w:eastAsia="Times New Roman"/>
          <w:szCs w:val="24"/>
          <w:lang w:val="en-US" w:eastAsia="nb-NO"/>
        </w:rPr>
        <w:t>aetiological</w:t>
      </w:r>
      <w:proofErr w:type="spellEnd"/>
      <w:r w:rsidRPr="00EF2023">
        <w:rPr>
          <w:rFonts w:eastAsia="Times New Roman"/>
          <w:szCs w:val="24"/>
          <w:lang w:val="en-US" w:eastAsia="nb-NO"/>
        </w:rPr>
        <w:t xml:space="preserve"> and ontological challenges of medically unexplained </w:t>
      </w:r>
      <w:r w:rsidRPr="00EF2023">
        <w:rPr>
          <w:rFonts w:eastAsia="Times New Roman"/>
          <w:szCs w:val="24"/>
          <w:lang w:val="en-US" w:eastAsia="nb-NO"/>
        </w:rPr>
        <w:lastRenderedPageBreak/>
        <w:t xml:space="preserve">symptoms. Philosophy, ethics, and humanities in </w:t>
      </w:r>
      <w:proofErr w:type="gramStart"/>
      <w:r w:rsidRPr="00EF2023">
        <w:rPr>
          <w:rFonts w:eastAsia="Times New Roman"/>
          <w:szCs w:val="24"/>
          <w:lang w:val="en-US" w:eastAsia="nb-NO"/>
        </w:rPr>
        <w:t>medicine :</w:t>
      </w:r>
      <w:proofErr w:type="gramEnd"/>
      <w:r w:rsidRPr="00EF2023">
        <w:rPr>
          <w:rFonts w:eastAsia="Times New Roman"/>
          <w:szCs w:val="24"/>
          <w:lang w:val="en-US" w:eastAsia="nb-NO"/>
        </w:rPr>
        <w:t xml:space="preserve"> PEHM 2013;8:11</w:t>
      </w:r>
    </w:p>
    <w:p w:rsidR="00FB05DD" w:rsidRPr="00EF2023" w:rsidRDefault="00FB05DD" w:rsidP="00EF40F5">
      <w:pPr>
        <w:spacing w:after="0" w:line="240" w:lineRule="auto"/>
        <w:rPr>
          <w:rFonts w:eastAsia="Times New Roman"/>
          <w:szCs w:val="24"/>
          <w:lang w:val="en-US" w:eastAsia="nb-NO"/>
        </w:rPr>
      </w:pPr>
      <w:proofErr w:type="spellStart"/>
      <w:r w:rsidRPr="00EF2023">
        <w:rPr>
          <w:rFonts w:eastAsia="Times New Roman"/>
          <w:szCs w:val="24"/>
          <w:lang w:val="en-US" w:eastAsia="nb-NO"/>
        </w:rPr>
        <w:t>Fabrega</w:t>
      </w:r>
      <w:proofErr w:type="spellEnd"/>
      <w:r w:rsidRPr="00EF2023">
        <w:rPr>
          <w:rFonts w:eastAsia="Times New Roman"/>
          <w:szCs w:val="24"/>
          <w:lang w:val="en-US" w:eastAsia="nb-NO"/>
        </w:rPr>
        <w:t xml:space="preserve"> H, Jr. How psychiatric conditions were made. Psychiatry. 2007</w:t>
      </w:r>
      <w:proofErr w:type="gramStart"/>
      <w:r w:rsidRPr="00EF2023">
        <w:rPr>
          <w:rFonts w:eastAsia="Times New Roman"/>
          <w:szCs w:val="24"/>
          <w:lang w:val="en-US" w:eastAsia="nb-NO"/>
        </w:rPr>
        <w:t>;70</w:t>
      </w:r>
      <w:proofErr w:type="gramEnd"/>
      <w:r w:rsidRPr="00EF2023">
        <w:rPr>
          <w:rFonts w:eastAsia="Times New Roman"/>
          <w:szCs w:val="24"/>
          <w:lang w:val="en-US" w:eastAsia="nb-NO"/>
        </w:rPr>
        <w:t>(2):130-153.</w:t>
      </w:r>
    </w:p>
    <w:p w:rsidR="00FB05DD" w:rsidRPr="00EF2023" w:rsidRDefault="00FB05DD" w:rsidP="00EF40F5">
      <w:pPr>
        <w:spacing w:after="0" w:line="240" w:lineRule="auto"/>
        <w:rPr>
          <w:rFonts w:eastAsia="Times New Roman"/>
          <w:szCs w:val="24"/>
          <w:lang w:val="en-US" w:eastAsia="nb-NO"/>
        </w:rPr>
      </w:pPr>
      <w:r w:rsidRPr="00EF2023">
        <w:rPr>
          <w:rFonts w:eastAsia="Times New Roman"/>
          <w:szCs w:val="24"/>
          <w:lang w:val="en-US" w:eastAsia="nb-NO"/>
        </w:rPr>
        <w:t>Greene J. Prescribing by numbers. Drugs and the definition of disease. Baltimore: Johns Hopkins University Press, 2006.</w:t>
      </w:r>
    </w:p>
    <w:p w:rsidR="00FB05DD" w:rsidRPr="00EF2023" w:rsidRDefault="00FB05DD" w:rsidP="00EF40F5">
      <w:pPr>
        <w:spacing w:after="0" w:line="240" w:lineRule="auto"/>
        <w:rPr>
          <w:rFonts w:eastAsia="Times New Roman"/>
          <w:szCs w:val="24"/>
          <w:lang w:val="en-US" w:eastAsia="nb-NO"/>
        </w:rPr>
      </w:pPr>
      <w:r w:rsidRPr="00EF2023">
        <w:rPr>
          <w:rFonts w:eastAsia="Times New Roman"/>
          <w:szCs w:val="24"/>
          <w:lang w:val="en-US" w:eastAsia="nb-NO"/>
        </w:rPr>
        <w:t>Horwitz AV. Creating Mental Illness, Chicago: University of Chicago Press, 2002.</w:t>
      </w:r>
    </w:p>
    <w:p w:rsidR="00FB05DD" w:rsidRPr="00EF2023" w:rsidRDefault="00FB05DD" w:rsidP="00EF40F5">
      <w:pPr>
        <w:spacing w:after="0" w:line="240" w:lineRule="auto"/>
        <w:rPr>
          <w:rFonts w:eastAsia="Times New Roman"/>
          <w:szCs w:val="24"/>
          <w:lang w:val="en-US" w:eastAsia="nb-NO"/>
        </w:rPr>
      </w:pPr>
      <w:r w:rsidRPr="00EF2023">
        <w:rPr>
          <w:rFonts w:eastAsia="Times New Roman"/>
          <w:szCs w:val="24"/>
          <w:lang w:val="en-US" w:eastAsia="nb-NO"/>
        </w:rPr>
        <w:t>Horwitz, A. V. and J.C. Wakefield. The Loss of Sadness, New York: Oxford University Press, 2007.</w:t>
      </w:r>
    </w:p>
    <w:p w:rsidR="00FB05DD" w:rsidRPr="00FB05DD" w:rsidRDefault="00FB05DD" w:rsidP="00EF40F5">
      <w:pPr>
        <w:spacing w:after="0" w:line="240" w:lineRule="auto"/>
        <w:rPr>
          <w:rFonts w:eastAsia="Times New Roman"/>
          <w:szCs w:val="24"/>
          <w:lang w:val="en-US" w:eastAsia="nb-NO"/>
        </w:rPr>
      </w:pPr>
      <w:r w:rsidRPr="00FB05DD">
        <w:rPr>
          <w:rFonts w:eastAsia="Times New Roman"/>
          <w:szCs w:val="24"/>
          <w:lang w:val="en-US" w:eastAsia="nb-NO"/>
        </w:rPr>
        <w:t xml:space="preserve">Kahn J. Race in a bottle: The story of </w:t>
      </w:r>
      <w:proofErr w:type="spellStart"/>
      <w:r w:rsidRPr="00FB05DD">
        <w:rPr>
          <w:rFonts w:eastAsia="Times New Roman"/>
          <w:szCs w:val="24"/>
          <w:lang w:val="en-US" w:eastAsia="nb-NO"/>
        </w:rPr>
        <w:t>BiDil</w:t>
      </w:r>
      <w:proofErr w:type="spellEnd"/>
      <w:r w:rsidRPr="00FB05DD">
        <w:rPr>
          <w:rFonts w:eastAsia="Times New Roman"/>
          <w:szCs w:val="24"/>
          <w:lang w:val="en-US" w:eastAsia="nb-NO"/>
        </w:rPr>
        <w:t xml:space="preserve"> and racialized medicine in a post-genomic age: Columbia University Press</w:t>
      </w:r>
      <w:r>
        <w:rPr>
          <w:rFonts w:eastAsia="Times New Roman"/>
          <w:szCs w:val="24"/>
          <w:lang w:val="en-US" w:eastAsia="nb-NO"/>
        </w:rPr>
        <w:t>,</w:t>
      </w:r>
      <w:r w:rsidRPr="00FB05DD">
        <w:rPr>
          <w:rFonts w:eastAsia="Times New Roman"/>
          <w:szCs w:val="24"/>
          <w:lang w:val="en-US" w:eastAsia="nb-NO"/>
        </w:rPr>
        <w:t xml:space="preserve"> 2013. </w:t>
      </w:r>
    </w:p>
    <w:p w:rsidR="00FB05DD" w:rsidRDefault="00FB05DD" w:rsidP="00EF40F5">
      <w:pPr>
        <w:spacing w:after="0" w:line="240" w:lineRule="auto"/>
        <w:rPr>
          <w:rFonts w:eastAsia="Times New Roman"/>
          <w:szCs w:val="24"/>
          <w:lang w:val="en-US" w:eastAsia="nb-NO"/>
        </w:rPr>
      </w:pPr>
      <w:r w:rsidRPr="0085349A">
        <w:rPr>
          <w:rFonts w:eastAsia="Times New Roman"/>
          <w:szCs w:val="24"/>
          <w:lang w:val="en-US" w:eastAsia="nb-NO"/>
        </w:rPr>
        <w:t>Katz</w:t>
      </w:r>
      <w:r>
        <w:rPr>
          <w:rFonts w:eastAsia="Times New Roman"/>
          <w:szCs w:val="24"/>
          <w:lang w:val="en-US" w:eastAsia="nb-NO"/>
        </w:rPr>
        <w:t>, S</w:t>
      </w:r>
      <w:r w:rsidRPr="0085349A">
        <w:rPr>
          <w:rFonts w:eastAsia="Times New Roman"/>
          <w:szCs w:val="24"/>
          <w:lang w:val="en-US" w:eastAsia="nb-NO"/>
        </w:rPr>
        <w:t xml:space="preserve">. </w:t>
      </w:r>
      <w:proofErr w:type="spellStart"/>
      <w:r w:rsidRPr="0085349A">
        <w:rPr>
          <w:rFonts w:eastAsia="Times New Roman"/>
          <w:szCs w:val="24"/>
          <w:lang w:val="en-US" w:eastAsia="nb-NO"/>
        </w:rPr>
        <w:t>Disiplining</w:t>
      </w:r>
      <w:proofErr w:type="spellEnd"/>
      <w:r w:rsidRPr="0085349A">
        <w:rPr>
          <w:rFonts w:eastAsia="Times New Roman"/>
          <w:szCs w:val="24"/>
          <w:lang w:val="en-US" w:eastAsia="nb-NO"/>
        </w:rPr>
        <w:t xml:space="preserve"> old age. The formation </w:t>
      </w:r>
      <w:proofErr w:type="spellStart"/>
      <w:proofErr w:type="gramStart"/>
      <w:r w:rsidRPr="0085349A">
        <w:rPr>
          <w:rFonts w:eastAsia="Times New Roman"/>
          <w:szCs w:val="24"/>
          <w:lang w:val="en-US" w:eastAsia="nb-NO"/>
        </w:rPr>
        <w:t>og</w:t>
      </w:r>
      <w:proofErr w:type="spellEnd"/>
      <w:proofErr w:type="gramEnd"/>
      <w:r w:rsidRPr="0085349A">
        <w:rPr>
          <w:rFonts w:eastAsia="Times New Roman"/>
          <w:szCs w:val="24"/>
          <w:lang w:val="en-US" w:eastAsia="nb-NO"/>
        </w:rPr>
        <w:t xml:space="preserve"> </w:t>
      </w:r>
      <w:proofErr w:type="spellStart"/>
      <w:r w:rsidRPr="0085349A">
        <w:rPr>
          <w:rFonts w:eastAsia="Times New Roman"/>
          <w:szCs w:val="24"/>
          <w:lang w:val="en-US" w:eastAsia="nb-NO"/>
        </w:rPr>
        <w:t>gerontological</w:t>
      </w:r>
      <w:proofErr w:type="spellEnd"/>
      <w:r w:rsidRPr="0085349A">
        <w:rPr>
          <w:rFonts w:eastAsia="Times New Roman"/>
          <w:szCs w:val="24"/>
          <w:lang w:val="en-US" w:eastAsia="nb-NO"/>
        </w:rPr>
        <w:t xml:space="preserve"> knowledge. University Press of Virginia</w:t>
      </w:r>
      <w:r>
        <w:rPr>
          <w:rFonts w:eastAsia="Times New Roman"/>
          <w:szCs w:val="24"/>
          <w:lang w:val="en-US" w:eastAsia="nb-NO"/>
        </w:rPr>
        <w:t xml:space="preserve">, </w:t>
      </w:r>
      <w:r w:rsidRPr="0085349A">
        <w:rPr>
          <w:rFonts w:eastAsia="Times New Roman"/>
          <w:szCs w:val="24"/>
          <w:lang w:val="en-US" w:eastAsia="nb-NO"/>
        </w:rPr>
        <w:t>1996</w:t>
      </w:r>
      <w:r>
        <w:rPr>
          <w:rFonts w:eastAsia="Times New Roman"/>
          <w:szCs w:val="24"/>
          <w:lang w:val="en-US" w:eastAsia="nb-NO"/>
        </w:rPr>
        <w:t>.</w:t>
      </w:r>
    </w:p>
    <w:p w:rsidR="00FB05DD" w:rsidRPr="00EF2023" w:rsidRDefault="00FB05DD" w:rsidP="00EF40F5">
      <w:pPr>
        <w:spacing w:after="0" w:line="240" w:lineRule="auto"/>
        <w:rPr>
          <w:rFonts w:eastAsia="Times New Roman"/>
          <w:szCs w:val="24"/>
          <w:lang w:val="en-US" w:eastAsia="nb-NO"/>
        </w:rPr>
      </w:pPr>
      <w:proofErr w:type="spellStart"/>
      <w:r w:rsidRPr="00EF2023">
        <w:rPr>
          <w:rFonts w:eastAsia="Times New Roman"/>
          <w:szCs w:val="24"/>
          <w:lang w:val="en-US" w:eastAsia="nb-NO"/>
        </w:rPr>
        <w:t>Kingma</w:t>
      </w:r>
      <w:proofErr w:type="spellEnd"/>
      <w:r w:rsidRPr="00EF2023">
        <w:rPr>
          <w:rFonts w:eastAsia="Times New Roman"/>
          <w:szCs w:val="24"/>
          <w:lang w:val="en-US" w:eastAsia="nb-NO"/>
        </w:rPr>
        <w:t>, E. 2007. What is it to be healthy? Analysis 67:128–33.</w:t>
      </w:r>
    </w:p>
    <w:p w:rsidR="00FB05DD" w:rsidRPr="00EF2023" w:rsidRDefault="00FB05DD" w:rsidP="00EF40F5">
      <w:pPr>
        <w:spacing w:after="0" w:line="240" w:lineRule="auto"/>
        <w:rPr>
          <w:rFonts w:eastAsia="Times New Roman"/>
          <w:szCs w:val="24"/>
          <w:lang w:val="en-US" w:eastAsia="nb-NO"/>
        </w:rPr>
      </w:pPr>
      <w:r w:rsidRPr="00EF2023">
        <w:rPr>
          <w:rFonts w:eastAsia="Times New Roman"/>
          <w:szCs w:val="24"/>
          <w:lang w:val="en-US" w:eastAsia="nb-NO"/>
        </w:rPr>
        <w:t>Lindstrøm J A. Why Attention-Deficit/Hyperactivity Disorder Is Not a True Medical Syndrome. Ethical Human Psychology and Psychiatry.14; 2012.1; 61-73.</w:t>
      </w:r>
    </w:p>
    <w:p w:rsidR="00FB05DD" w:rsidRPr="00FB05DD" w:rsidRDefault="00FB05DD" w:rsidP="00EF40F5">
      <w:pPr>
        <w:spacing w:after="0" w:line="240" w:lineRule="auto"/>
        <w:rPr>
          <w:rFonts w:eastAsia="Times New Roman"/>
          <w:szCs w:val="24"/>
          <w:lang w:val="en-US" w:eastAsia="nb-NO"/>
        </w:rPr>
      </w:pPr>
      <w:r w:rsidRPr="00FB05DD">
        <w:rPr>
          <w:rFonts w:eastAsia="Times New Roman"/>
          <w:szCs w:val="24"/>
          <w:lang w:val="en-US" w:eastAsia="nb-NO"/>
        </w:rPr>
        <w:t>Lock M. The Alzheimer conundrum: Enta</w:t>
      </w:r>
      <w:r>
        <w:rPr>
          <w:rFonts w:eastAsia="Times New Roman"/>
          <w:szCs w:val="24"/>
          <w:lang w:val="en-US" w:eastAsia="nb-NO"/>
        </w:rPr>
        <w:t>nglements of dementia and aging.</w:t>
      </w:r>
      <w:r w:rsidRPr="00FB05DD">
        <w:rPr>
          <w:rFonts w:eastAsia="Times New Roman"/>
          <w:szCs w:val="24"/>
          <w:lang w:val="en-US" w:eastAsia="nb-NO"/>
        </w:rPr>
        <w:t xml:space="preserve"> Princeton University Press</w:t>
      </w:r>
      <w:r>
        <w:rPr>
          <w:rFonts w:eastAsia="Times New Roman"/>
          <w:szCs w:val="24"/>
          <w:lang w:val="en-US" w:eastAsia="nb-NO"/>
        </w:rPr>
        <w:t>,</w:t>
      </w:r>
      <w:r w:rsidRPr="00FB05DD">
        <w:rPr>
          <w:rFonts w:eastAsia="Times New Roman"/>
          <w:szCs w:val="24"/>
          <w:lang w:val="en-US" w:eastAsia="nb-NO"/>
        </w:rPr>
        <w:t xml:space="preserve"> 2013. </w:t>
      </w:r>
    </w:p>
    <w:p w:rsidR="00FB05DD" w:rsidRPr="00EF2023" w:rsidRDefault="00FB05DD" w:rsidP="00EF40F5">
      <w:pPr>
        <w:spacing w:after="0" w:line="240" w:lineRule="auto"/>
        <w:rPr>
          <w:rFonts w:eastAsia="Times New Roman"/>
          <w:szCs w:val="24"/>
          <w:lang w:val="en-US" w:eastAsia="nb-NO"/>
        </w:rPr>
      </w:pPr>
      <w:r w:rsidRPr="00EF2023">
        <w:rPr>
          <w:rFonts w:eastAsia="Times New Roman"/>
          <w:szCs w:val="24"/>
          <w:lang w:val="en-US" w:eastAsia="nb-NO"/>
        </w:rPr>
        <w:t>Lupton D. The imperative of health: Public health and the regulated body. Vol 90: Taylor &amp; Francis; 1995.</w:t>
      </w:r>
    </w:p>
    <w:p w:rsidR="00B2526C" w:rsidRDefault="00B2526C" w:rsidP="00EF40F5">
      <w:pPr>
        <w:spacing w:after="0" w:line="240" w:lineRule="auto"/>
        <w:rPr>
          <w:rFonts w:eastAsia="Times New Roman"/>
          <w:szCs w:val="24"/>
          <w:lang w:val="en-US" w:eastAsia="nb-NO"/>
        </w:rPr>
      </w:pPr>
      <w:r w:rsidRPr="006A0B33">
        <w:rPr>
          <w:rFonts w:eastAsia="Times New Roman"/>
          <w:szCs w:val="24"/>
          <w:lang w:eastAsia="nb-NO"/>
        </w:rPr>
        <w:t xml:space="preserve">Magelssen, M., Nortvedt, P., &amp; Solbakk, J. H. (2016). </w:t>
      </w:r>
      <w:r w:rsidRPr="00B2526C">
        <w:rPr>
          <w:rFonts w:eastAsia="Times New Roman"/>
          <w:szCs w:val="24"/>
          <w:lang w:val="en-US" w:eastAsia="nb-NO"/>
        </w:rPr>
        <w:t xml:space="preserve">Rationing at the bedside: Immoral or unavoidable? Clinical Ethics, 11(4), 112-121. </w:t>
      </w:r>
      <w:proofErr w:type="gramStart"/>
      <w:r w:rsidRPr="00B2526C">
        <w:rPr>
          <w:rFonts w:eastAsia="Times New Roman"/>
          <w:szCs w:val="24"/>
          <w:lang w:val="en-US" w:eastAsia="nb-NO"/>
        </w:rPr>
        <w:t>doi:</w:t>
      </w:r>
      <w:proofErr w:type="gramEnd"/>
      <w:r w:rsidRPr="00B2526C">
        <w:rPr>
          <w:rFonts w:eastAsia="Times New Roman"/>
          <w:szCs w:val="24"/>
          <w:lang w:val="en-US" w:eastAsia="nb-NO"/>
        </w:rPr>
        <w:t xml:space="preserve">10.1177/1477750916657664 </w:t>
      </w:r>
    </w:p>
    <w:p w:rsidR="00FB05DD" w:rsidRPr="00EF2023" w:rsidRDefault="00FB05DD" w:rsidP="00EF40F5">
      <w:pPr>
        <w:spacing w:after="0" w:line="240" w:lineRule="auto"/>
        <w:rPr>
          <w:rFonts w:eastAsia="Times New Roman"/>
          <w:szCs w:val="24"/>
          <w:lang w:val="en-US" w:eastAsia="nb-NO"/>
        </w:rPr>
      </w:pPr>
      <w:r w:rsidRPr="00EF2023">
        <w:rPr>
          <w:rFonts w:eastAsia="Times New Roman"/>
          <w:szCs w:val="24"/>
          <w:lang w:val="en-US" w:eastAsia="nb-NO"/>
        </w:rPr>
        <w:lastRenderedPageBreak/>
        <w:t>Martin CM, Peterson C. The social construction of chronicity--a key to understanding chronic care transformations. Journal of evaluation in clinical practice. 2009</w:t>
      </w:r>
      <w:proofErr w:type="gramStart"/>
      <w:r w:rsidRPr="00EF2023">
        <w:rPr>
          <w:rFonts w:eastAsia="Times New Roman"/>
          <w:szCs w:val="24"/>
          <w:lang w:val="en-US" w:eastAsia="nb-NO"/>
        </w:rPr>
        <w:t>;15</w:t>
      </w:r>
      <w:proofErr w:type="gramEnd"/>
      <w:r w:rsidRPr="00EF2023">
        <w:rPr>
          <w:rFonts w:eastAsia="Times New Roman"/>
          <w:szCs w:val="24"/>
          <w:lang w:val="en-US" w:eastAsia="nb-NO"/>
        </w:rPr>
        <w:t>(3):578-585.</w:t>
      </w:r>
    </w:p>
    <w:p w:rsidR="00E3070E" w:rsidRDefault="00E3070E" w:rsidP="00EF40F5">
      <w:pPr>
        <w:spacing w:after="0" w:line="240" w:lineRule="auto"/>
        <w:rPr>
          <w:rFonts w:eastAsia="Times New Roman"/>
          <w:szCs w:val="24"/>
          <w:lang w:val="en-US" w:eastAsia="nb-NO"/>
        </w:rPr>
      </w:pPr>
      <w:r w:rsidRPr="00E3070E">
        <w:rPr>
          <w:rFonts w:eastAsia="Times New Roman"/>
          <w:szCs w:val="24"/>
          <w:lang w:val="en-US" w:eastAsia="nb-NO"/>
        </w:rPr>
        <w:t xml:space="preserve">Moynihan R. Medicalization. A new deal on disease definition. </w:t>
      </w:r>
      <w:proofErr w:type="spellStart"/>
      <w:r w:rsidRPr="00E3070E">
        <w:rPr>
          <w:rFonts w:eastAsia="Times New Roman"/>
          <w:szCs w:val="24"/>
          <w:lang w:val="en-US" w:eastAsia="nb-NO"/>
        </w:rPr>
        <w:t>Bmj</w:t>
      </w:r>
      <w:proofErr w:type="spellEnd"/>
      <w:r w:rsidRPr="00E3070E">
        <w:rPr>
          <w:rFonts w:eastAsia="Times New Roman"/>
          <w:szCs w:val="24"/>
          <w:lang w:val="en-US" w:eastAsia="nb-NO"/>
        </w:rPr>
        <w:t xml:space="preserve"> 2011</w:t>
      </w:r>
      <w:proofErr w:type="gramStart"/>
      <w:r w:rsidRPr="00E3070E">
        <w:rPr>
          <w:rFonts w:eastAsia="Times New Roman"/>
          <w:szCs w:val="24"/>
          <w:lang w:val="en-US" w:eastAsia="nb-NO"/>
        </w:rPr>
        <w:t>;342:d2548</w:t>
      </w:r>
      <w:proofErr w:type="gramEnd"/>
    </w:p>
    <w:p w:rsidR="00FB05DD" w:rsidRPr="00EF2023" w:rsidRDefault="00FB05DD" w:rsidP="00EF40F5">
      <w:pPr>
        <w:spacing w:after="0" w:line="240" w:lineRule="auto"/>
        <w:rPr>
          <w:rFonts w:eastAsia="Times New Roman"/>
          <w:szCs w:val="24"/>
          <w:lang w:val="en-US" w:eastAsia="nb-NO"/>
        </w:rPr>
      </w:pPr>
      <w:r w:rsidRPr="00EF2023">
        <w:rPr>
          <w:rFonts w:eastAsia="Times New Roman"/>
          <w:szCs w:val="24"/>
          <w:lang w:val="en-US" w:eastAsia="nb-NO"/>
        </w:rPr>
        <w:t>Mukherjee S. The emperor of all maladies. A biography of cancer. New York: Scribner, 2011.</w:t>
      </w:r>
    </w:p>
    <w:p w:rsidR="00FB05DD" w:rsidRPr="00FB05DD" w:rsidRDefault="00FB05DD" w:rsidP="00EF40F5">
      <w:pPr>
        <w:spacing w:after="0" w:line="240" w:lineRule="auto"/>
        <w:rPr>
          <w:rFonts w:eastAsia="Times New Roman"/>
          <w:szCs w:val="24"/>
          <w:lang w:val="en-US" w:eastAsia="nb-NO"/>
        </w:rPr>
      </w:pPr>
      <w:r w:rsidRPr="00FB05DD">
        <w:rPr>
          <w:rFonts w:eastAsia="Times New Roman"/>
          <w:szCs w:val="24"/>
          <w:lang w:val="en-US" w:eastAsia="nb-NO"/>
        </w:rPr>
        <w:t>Mukherjee S. The gene: An intimate history: Simon and Schuster</w:t>
      </w:r>
      <w:r>
        <w:rPr>
          <w:rFonts w:eastAsia="Times New Roman"/>
          <w:szCs w:val="24"/>
          <w:lang w:val="en-US" w:eastAsia="nb-NO"/>
        </w:rPr>
        <w:t>,</w:t>
      </w:r>
      <w:r w:rsidRPr="00FB05DD">
        <w:rPr>
          <w:rFonts w:eastAsia="Times New Roman"/>
          <w:szCs w:val="24"/>
          <w:lang w:val="en-US" w:eastAsia="nb-NO"/>
        </w:rPr>
        <w:t xml:space="preserve"> 2016. </w:t>
      </w:r>
    </w:p>
    <w:p w:rsidR="00FB05DD" w:rsidRPr="00EF2023" w:rsidRDefault="00FB05DD" w:rsidP="00EF40F5">
      <w:pPr>
        <w:spacing w:after="0" w:line="240" w:lineRule="auto"/>
        <w:rPr>
          <w:rFonts w:eastAsia="Times New Roman"/>
          <w:szCs w:val="24"/>
          <w:lang w:val="en-US" w:eastAsia="nb-NO"/>
        </w:rPr>
      </w:pPr>
      <w:r w:rsidRPr="00D40752">
        <w:rPr>
          <w:rFonts w:eastAsia="Times New Roman"/>
          <w:szCs w:val="24"/>
          <w:lang w:val="da-DK" w:eastAsia="nb-NO"/>
        </w:rPr>
        <w:t xml:space="preserve">Napier AD, Ancarno C, Butler B, et al. </w:t>
      </w:r>
      <w:r w:rsidRPr="00EF2023">
        <w:rPr>
          <w:rFonts w:eastAsia="Times New Roman"/>
          <w:szCs w:val="24"/>
          <w:lang w:val="en-US" w:eastAsia="nb-NO"/>
        </w:rPr>
        <w:t>Culture and health. The Lancet. 2014</w:t>
      </w:r>
      <w:proofErr w:type="gramStart"/>
      <w:r w:rsidRPr="00EF2023">
        <w:rPr>
          <w:rFonts w:eastAsia="Times New Roman"/>
          <w:szCs w:val="24"/>
          <w:lang w:val="en-US" w:eastAsia="nb-NO"/>
        </w:rPr>
        <w:t>;384</w:t>
      </w:r>
      <w:proofErr w:type="gramEnd"/>
      <w:r w:rsidRPr="00EF2023">
        <w:rPr>
          <w:rFonts w:eastAsia="Times New Roman"/>
          <w:szCs w:val="24"/>
          <w:lang w:val="en-US" w:eastAsia="nb-NO"/>
        </w:rPr>
        <w:t>(9954):1607-1639.</w:t>
      </w:r>
    </w:p>
    <w:p w:rsidR="00FB05DD" w:rsidRPr="00EF2023" w:rsidRDefault="00FB05DD" w:rsidP="00EF40F5">
      <w:pPr>
        <w:spacing w:after="0" w:line="240" w:lineRule="auto"/>
        <w:rPr>
          <w:rFonts w:eastAsia="Times New Roman"/>
          <w:szCs w:val="24"/>
          <w:lang w:val="en-US" w:eastAsia="nb-NO"/>
        </w:rPr>
      </w:pPr>
      <w:proofErr w:type="spellStart"/>
      <w:r w:rsidRPr="00EF2023">
        <w:rPr>
          <w:rFonts w:eastAsia="Times New Roman"/>
          <w:szCs w:val="24"/>
          <w:lang w:val="en-US" w:eastAsia="nb-NO"/>
        </w:rPr>
        <w:t>Nordenfelt</w:t>
      </w:r>
      <w:proofErr w:type="spellEnd"/>
      <w:r w:rsidRPr="00EF2023">
        <w:rPr>
          <w:rFonts w:eastAsia="Times New Roman"/>
          <w:szCs w:val="24"/>
          <w:lang w:val="en-US" w:eastAsia="nb-NO"/>
        </w:rPr>
        <w:t xml:space="preserve">, </w:t>
      </w:r>
      <w:proofErr w:type="spellStart"/>
      <w:r w:rsidRPr="00EF2023">
        <w:rPr>
          <w:rFonts w:eastAsia="Times New Roman"/>
          <w:szCs w:val="24"/>
          <w:lang w:val="en-US" w:eastAsia="nb-NO"/>
        </w:rPr>
        <w:t>L.On</w:t>
      </w:r>
      <w:proofErr w:type="spellEnd"/>
      <w:r w:rsidRPr="00EF2023">
        <w:rPr>
          <w:rFonts w:eastAsia="Times New Roman"/>
          <w:szCs w:val="24"/>
          <w:lang w:val="en-US" w:eastAsia="nb-NO"/>
        </w:rPr>
        <w:t xml:space="preserve"> the Nature of Health: An Action-Theoretic Perspective, 2nd edition, Dordrecht: Kluwer, 1995.</w:t>
      </w:r>
    </w:p>
    <w:p w:rsidR="00EF40F5" w:rsidRDefault="00EF40F5" w:rsidP="00EF40F5">
      <w:pPr>
        <w:spacing w:after="0" w:line="240" w:lineRule="auto"/>
        <w:rPr>
          <w:rFonts w:eastAsia="Times New Roman"/>
          <w:szCs w:val="24"/>
          <w:lang w:val="en-US" w:eastAsia="nb-NO"/>
        </w:rPr>
      </w:pPr>
      <w:r w:rsidRPr="00EF40F5">
        <w:rPr>
          <w:rFonts w:eastAsia="Times New Roman"/>
          <w:szCs w:val="24"/>
          <w:lang w:val="en-US" w:eastAsia="nb-NO"/>
        </w:rPr>
        <w:t xml:space="preserve">Rasmussen EB. Balancing medical accuracy and diagnostic consequences: diagnosing medically unexplained symptoms in primary care. Sociology of health &amp; illness 2017 </w:t>
      </w:r>
      <w:proofErr w:type="spellStart"/>
      <w:r w:rsidRPr="00EF40F5">
        <w:rPr>
          <w:rFonts w:eastAsia="Times New Roman"/>
          <w:szCs w:val="24"/>
          <w:lang w:val="en-US" w:eastAsia="nb-NO"/>
        </w:rPr>
        <w:t>doi</w:t>
      </w:r>
      <w:proofErr w:type="spellEnd"/>
      <w:r w:rsidRPr="00EF40F5">
        <w:rPr>
          <w:rFonts w:eastAsia="Times New Roman"/>
          <w:szCs w:val="24"/>
          <w:lang w:val="en-US" w:eastAsia="nb-NO"/>
        </w:rPr>
        <w:t>: 10.1111/1467-9566.12581</w:t>
      </w:r>
    </w:p>
    <w:p w:rsidR="00FB05DD" w:rsidRPr="00EF2023" w:rsidRDefault="00FB05DD" w:rsidP="00EF40F5">
      <w:pPr>
        <w:spacing w:after="0" w:line="240" w:lineRule="auto"/>
        <w:rPr>
          <w:rFonts w:eastAsia="Times New Roman"/>
          <w:szCs w:val="24"/>
          <w:lang w:val="en-US" w:eastAsia="nb-NO"/>
        </w:rPr>
      </w:pPr>
      <w:proofErr w:type="spellStart"/>
      <w:r w:rsidRPr="00EF2023">
        <w:rPr>
          <w:rFonts w:eastAsia="Times New Roman"/>
          <w:szCs w:val="24"/>
          <w:lang w:val="en-US" w:eastAsia="nb-NO"/>
        </w:rPr>
        <w:t>Reznek</w:t>
      </w:r>
      <w:proofErr w:type="spellEnd"/>
      <w:r w:rsidRPr="00EF2023">
        <w:rPr>
          <w:rFonts w:eastAsia="Times New Roman"/>
          <w:szCs w:val="24"/>
          <w:lang w:val="en-US" w:eastAsia="nb-NO"/>
        </w:rPr>
        <w:t>, L. The Nature of Disease, New York: Routledge, 1987.</w:t>
      </w:r>
    </w:p>
    <w:p w:rsidR="00FB05DD" w:rsidRPr="00EF2023" w:rsidRDefault="00FB05DD" w:rsidP="00EF40F5">
      <w:pPr>
        <w:spacing w:after="0" w:line="240" w:lineRule="auto"/>
        <w:rPr>
          <w:rFonts w:eastAsia="Times New Roman"/>
          <w:szCs w:val="24"/>
          <w:lang w:val="en-US" w:eastAsia="nb-NO"/>
        </w:rPr>
      </w:pPr>
      <w:r w:rsidRPr="00EF2023">
        <w:rPr>
          <w:rFonts w:eastAsia="Times New Roman"/>
          <w:szCs w:val="24"/>
          <w:lang w:val="en-US" w:eastAsia="nb-NO"/>
        </w:rPr>
        <w:t>Shilling C. Culture, the ‘sick role’ and the consumption of health. British Journal of Sociology 2002; 53: 621–638</w:t>
      </w:r>
    </w:p>
    <w:p w:rsidR="00FB05DD" w:rsidRDefault="00FB05DD" w:rsidP="00EF40F5">
      <w:pPr>
        <w:spacing w:after="0" w:line="240" w:lineRule="auto"/>
        <w:rPr>
          <w:rFonts w:eastAsia="Times New Roman"/>
          <w:szCs w:val="24"/>
          <w:lang w:val="en-US" w:eastAsia="nb-NO"/>
        </w:rPr>
      </w:pPr>
      <w:r w:rsidRPr="00FB05DD">
        <w:rPr>
          <w:rFonts w:eastAsia="Times New Roman"/>
          <w:szCs w:val="24"/>
          <w:lang w:val="en-US" w:eastAsia="nb-NO"/>
        </w:rPr>
        <w:t xml:space="preserve">Shim JK. Heart-sick: The politics of risk, inequality, and heart disease: NYU Press 2014. </w:t>
      </w:r>
    </w:p>
    <w:p w:rsidR="00FB05DD" w:rsidRPr="00EF2023" w:rsidRDefault="00FB05DD" w:rsidP="00EF40F5">
      <w:pPr>
        <w:spacing w:after="0" w:line="240" w:lineRule="auto"/>
        <w:rPr>
          <w:rFonts w:eastAsia="Times New Roman"/>
          <w:szCs w:val="24"/>
          <w:lang w:val="en-US" w:eastAsia="nb-NO"/>
        </w:rPr>
      </w:pPr>
      <w:proofErr w:type="spellStart"/>
      <w:r w:rsidRPr="00EF2023">
        <w:rPr>
          <w:rFonts w:eastAsia="Times New Roman"/>
          <w:szCs w:val="24"/>
          <w:lang w:val="en-US" w:eastAsia="nb-NO"/>
        </w:rPr>
        <w:t>Thagard</w:t>
      </w:r>
      <w:proofErr w:type="spellEnd"/>
      <w:r w:rsidRPr="00EF2023">
        <w:rPr>
          <w:rFonts w:eastAsia="Times New Roman"/>
          <w:szCs w:val="24"/>
          <w:lang w:val="en-US" w:eastAsia="nb-NO"/>
        </w:rPr>
        <w:t xml:space="preserve">. </w:t>
      </w:r>
      <w:proofErr w:type="spellStart"/>
      <w:r w:rsidRPr="00EF2023">
        <w:rPr>
          <w:rFonts w:eastAsia="Times New Roman"/>
          <w:szCs w:val="24"/>
          <w:lang w:val="en-US" w:eastAsia="nb-NO"/>
        </w:rPr>
        <w:t>P.How</w:t>
      </w:r>
      <w:proofErr w:type="spellEnd"/>
      <w:r w:rsidRPr="00EF2023">
        <w:rPr>
          <w:rFonts w:eastAsia="Times New Roman"/>
          <w:szCs w:val="24"/>
          <w:lang w:val="en-US" w:eastAsia="nb-NO"/>
        </w:rPr>
        <w:t xml:space="preserve"> Scientists Explain Disease, Princeton: Princeton University Press, 1999.</w:t>
      </w:r>
    </w:p>
    <w:p w:rsidR="00E3070E" w:rsidRPr="00E3070E" w:rsidRDefault="00E3070E" w:rsidP="00E3070E">
      <w:pPr>
        <w:spacing w:after="0" w:line="240" w:lineRule="auto"/>
        <w:rPr>
          <w:rFonts w:eastAsia="Times New Roman"/>
          <w:szCs w:val="24"/>
          <w:lang w:val="en-US" w:eastAsia="nb-NO"/>
        </w:rPr>
      </w:pPr>
      <w:r w:rsidRPr="009E7F7E">
        <w:rPr>
          <w:rFonts w:eastAsia="Times New Roman"/>
          <w:szCs w:val="24"/>
          <w:lang w:eastAsia="nb-NO"/>
        </w:rPr>
        <w:t xml:space="preserve">Tikkinen KA, Leinonen JS, Guyatt GH, et al. </w:t>
      </w:r>
      <w:r w:rsidRPr="00E3070E">
        <w:rPr>
          <w:rFonts w:eastAsia="Times New Roman"/>
          <w:szCs w:val="24"/>
          <w:lang w:val="en-US" w:eastAsia="nb-NO"/>
        </w:rPr>
        <w:t>What is a disease? Perspectives of the public, health professionals and legislators. BMJ Open 2012</w:t>
      </w:r>
      <w:proofErr w:type="gramStart"/>
      <w:r w:rsidRPr="00E3070E">
        <w:rPr>
          <w:rFonts w:eastAsia="Times New Roman"/>
          <w:szCs w:val="24"/>
          <w:lang w:val="en-US" w:eastAsia="nb-NO"/>
        </w:rPr>
        <w:t>;2</w:t>
      </w:r>
      <w:proofErr w:type="gramEnd"/>
      <w:r w:rsidRPr="00E3070E">
        <w:rPr>
          <w:rFonts w:eastAsia="Times New Roman"/>
          <w:szCs w:val="24"/>
          <w:lang w:val="en-US" w:eastAsia="nb-NO"/>
        </w:rPr>
        <w:t>(6).</w:t>
      </w:r>
    </w:p>
    <w:p w:rsidR="00FB05DD" w:rsidRDefault="00FB05DD" w:rsidP="00E3070E">
      <w:pPr>
        <w:spacing w:after="0" w:line="240" w:lineRule="auto"/>
        <w:rPr>
          <w:rFonts w:eastAsia="Times New Roman"/>
          <w:szCs w:val="24"/>
          <w:lang w:val="en-US" w:eastAsia="nb-NO"/>
        </w:rPr>
      </w:pPr>
      <w:r w:rsidRPr="00EF2023">
        <w:rPr>
          <w:rFonts w:eastAsia="Times New Roman"/>
          <w:szCs w:val="24"/>
          <w:lang w:val="en-US" w:eastAsia="nb-NO"/>
        </w:rPr>
        <w:t xml:space="preserve">Toombs SK. The Temporality of Illness: Four Levels of Experience. </w:t>
      </w:r>
      <w:proofErr w:type="spellStart"/>
      <w:r w:rsidRPr="00EF2023">
        <w:rPr>
          <w:rFonts w:eastAsia="Times New Roman"/>
          <w:szCs w:val="24"/>
          <w:lang w:val="en-US" w:eastAsia="nb-NO"/>
        </w:rPr>
        <w:t>Theor</w:t>
      </w:r>
      <w:proofErr w:type="spellEnd"/>
      <w:r w:rsidRPr="00EF2023">
        <w:rPr>
          <w:rFonts w:eastAsia="Times New Roman"/>
          <w:szCs w:val="24"/>
          <w:lang w:val="en-US" w:eastAsia="nb-NO"/>
        </w:rPr>
        <w:t xml:space="preserve"> Med 11, no. 3 (1990): 227-41.</w:t>
      </w:r>
    </w:p>
    <w:p w:rsidR="009C3641" w:rsidRPr="00EF2023" w:rsidRDefault="009C3641" w:rsidP="00EF40F5">
      <w:pPr>
        <w:spacing w:after="0" w:line="240" w:lineRule="auto"/>
        <w:rPr>
          <w:rFonts w:eastAsia="Times New Roman"/>
          <w:szCs w:val="24"/>
          <w:lang w:val="en-US" w:eastAsia="nb-NO"/>
        </w:rPr>
      </w:pPr>
      <w:r w:rsidRPr="009C3641">
        <w:rPr>
          <w:rFonts w:eastAsia="Times New Roman"/>
          <w:szCs w:val="24"/>
          <w:lang w:val="en-US" w:eastAsia="nb-NO"/>
        </w:rPr>
        <w:lastRenderedPageBreak/>
        <w:t>Vogt H, Hofmann B, Getz L. The new holism: P4 systems medicine and the medicalization of health and life itself.</w:t>
      </w:r>
      <w:r>
        <w:rPr>
          <w:rFonts w:eastAsia="Times New Roman"/>
          <w:szCs w:val="24"/>
          <w:lang w:val="en-US" w:eastAsia="nb-NO"/>
        </w:rPr>
        <w:t xml:space="preserve"> </w:t>
      </w:r>
      <w:r w:rsidR="008F7CA7">
        <w:rPr>
          <w:rFonts w:eastAsia="Times New Roman"/>
          <w:szCs w:val="24"/>
          <w:lang w:val="en-US" w:eastAsia="nb-NO"/>
        </w:rPr>
        <w:t>Med Health Care Philos. 2016</w:t>
      </w:r>
      <w:proofErr w:type="gramStart"/>
      <w:r w:rsidRPr="009C3641">
        <w:rPr>
          <w:rFonts w:eastAsia="Times New Roman"/>
          <w:szCs w:val="24"/>
          <w:lang w:val="en-US" w:eastAsia="nb-NO"/>
        </w:rPr>
        <w:t>;19</w:t>
      </w:r>
      <w:proofErr w:type="gramEnd"/>
      <w:r w:rsidRPr="009C3641">
        <w:rPr>
          <w:rFonts w:eastAsia="Times New Roman"/>
          <w:szCs w:val="24"/>
          <w:lang w:val="en-US" w:eastAsia="nb-NO"/>
        </w:rPr>
        <w:t>(2):307-23.</w:t>
      </w:r>
    </w:p>
    <w:p w:rsidR="00B2526C" w:rsidRDefault="00B2526C" w:rsidP="00EF40F5">
      <w:pPr>
        <w:spacing w:after="0" w:line="240" w:lineRule="auto"/>
        <w:rPr>
          <w:rFonts w:eastAsia="Times New Roman"/>
          <w:szCs w:val="24"/>
          <w:lang w:val="en-US" w:eastAsia="nb-NO"/>
        </w:rPr>
      </w:pPr>
      <w:r w:rsidRPr="00B2526C">
        <w:rPr>
          <w:rFonts w:eastAsia="Times New Roman"/>
          <w:szCs w:val="24"/>
          <w:lang w:val="en-US" w:eastAsia="nb-NO"/>
        </w:rPr>
        <w:t>Wyller, V. B. (2014). Give to the Doctor What Is Due to the Doctor</w:t>
      </w:r>
      <w:proofErr w:type="gramStart"/>
      <w:r w:rsidRPr="00B2526C">
        <w:rPr>
          <w:rFonts w:eastAsia="Times New Roman"/>
          <w:szCs w:val="24"/>
          <w:lang w:val="en-US" w:eastAsia="nb-NO"/>
        </w:rPr>
        <w:t>!:</w:t>
      </w:r>
      <w:proofErr w:type="gramEnd"/>
      <w:r w:rsidRPr="00B2526C">
        <w:rPr>
          <w:rFonts w:eastAsia="Times New Roman"/>
          <w:szCs w:val="24"/>
          <w:lang w:val="en-US" w:eastAsia="nb-NO"/>
        </w:rPr>
        <w:t xml:space="preserve"> Why “Fair Rationing at the Bedside” Is Impossible: Oxford University Press.</w:t>
      </w:r>
    </w:p>
    <w:p w:rsidR="00752A03" w:rsidRPr="009C3641" w:rsidRDefault="00752A03">
      <w:pPr>
        <w:rPr>
          <w:lang w:val="en-US"/>
        </w:rPr>
      </w:pPr>
    </w:p>
    <w:p w:rsidR="00752A03" w:rsidRPr="009C3641" w:rsidRDefault="00752A03">
      <w:pPr>
        <w:rPr>
          <w:lang w:val="en-US"/>
        </w:rPr>
      </w:pPr>
    </w:p>
    <w:p w:rsidR="00CD5CAE" w:rsidRDefault="00752A03">
      <w:r>
        <w:fldChar w:fldCharType="begin"/>
      </w:r>
      <w:r w:rsidRPr="00752A03">
        <w:rPr>
          <w:lang w:val="en-US"/>
        </w:rPr>
        <w:instrText xml:space="preserve"> ADDIN EN.REFLIST </w:instrText>
      </w:r>
      <w:r>
        <w:fldChar w:fldCharType="end"/>
      </w:r>
    </w:p>
    <w:sectPr w:rsidR="00CD5C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66" w:rsidRDefault="00315A66" w:rsidP="0087656E">
      <w:pPr>
        <w:spacing w:after="0" w:line="240" w:lineRule="auto"/>
      </w:pPr>
      <w:r>
        <w:separator/>
      </w:r>
    </w:p>
  </w:endnote>
  <w:endnote w:type="continuationSeparator" w:id="0">
    <w:p w:rsidR="00315A66" w:rsidRDefault="00315A66" w:rsidP="0087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481987"/>
      <w:docPartObj>
        <w:docPartGallery w:val="Page Numbers (Bottom of Page)"/>
        <w:docPartUnique/>
      </w:docPartObj>
    </w:sdtPr>
    <w:sdtEndPr/>
    <w:sdtContent>
      <w:p w:rsidR="0087656E" w:rsidRDefault="0087656E">
        <w:pPr>
          <w:pStyle w:val="Footer"/>
          <w:jc w:val="right"/>
        </w:pPr>
        <w:r>
          <w:fldChar w:fldCharType="begin"/>
        </w:r>
        <w:r>
          <w:instrText>PAGE   \* MERGEFORMAT</w:instrText>
        </w:r>
        <w:r>
          <w:fldChar w:fldCharType="separate"/>
        </w:r>
        <w:r w:rsidR="009E7F7E">
          <w:rPr>
            <w:noProof/>
          </w:rPr>
          <w:t>4</w:t>
        </w:r>
        <w:r>
          <w:fldChar w:fldCharType="end"/>
        </w:r>
      </w:p>
    </w:sdtContent>
  </w:sdt>
  <w:p w:rsidR="0087656E" w:rsidRDefault="0087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66" w:rsidRDefault="00315A66" w:rsidP="0087656E">
      <w:pPr>
        <w:spacing w:after="0" w:line="240" w:lineRule="auto"/>
      </w:pPr>
      <w:r>
        <w:separator/>
      </w:r>
    </w:p>
  </w:footnote>
  <w:footnote w:type="continuationSeparator" w:id="0">
    <w:p w:rsidR="00315A66" w:rsidRDefault="00315A66" w:rsidP="00876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3484"/>
    <w:multiLevelType w:val="hybridMultilevel"/>
    <w:tmpl w:val="D5EC7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F914F3"/>
    <w:multiLevelType w:val="hybridMultilevel"/>
    <w:tmpl w:val="A3383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540307C"/>
    <w:multiLevelType w:val="hybridMultilevel"/>
    <w:tmpl w:val="68945F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Humanities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5vp5feyw29dre0f5bps50jp9sdzfv9ds0t&quot;&gt;MammographySceening_Information_Consent_Decision_Choice&lt;record-ids&gt;&lt;item&gt;126&lt;/item&gt;&lt;/record-ids&gt;&lt;/item&gt;&lt;/Libraries&gt;"/>
  </w:docVars>
  <w:rsids>
    <w:rsidRoot w:val="00CD5CAE"/>
    <w:rsid w:val="00002BDD"/>
    <w:rsid w:val="00031DED"/>
    <w:rsid w:val="0005389D"/>
    <w:rsid w:val="00065364"/>
    <w:rsid w:val="00092C70"/>
    <w:rsid w:val="00100EE1"/>
    <w:rsid w:val="0010371C"/>
    <w:rsid w:val="00116F42"/>
    <w:rsid w:val="00154D5E"/>
    <w:rsid w:val="001758F9"/>
    <w:rsid w:val="0018656F"/>
    <w:rsid w:val="001A4137"/>
    <w:rsid w:val="001C6C63"/>
    <w:rsid w:val="00205317"/>
    <w:rsid w:val="00210E80"/>
    <w:rsid w:val="00250D2B"/>
    <w:rsid w:val="0025201F"/>
    <w:rsid w:val="00270BA7"/>
    <w:rsid w:val="002E5B44"/>
    <w:rsid w:val="002F625D"/>
    <w:rsid w:val="00315A66"/>
    <w:rsid w:val="00354465"/>
    <w:rsid w:val="003F24F4"/>
    <w:rsid w:val="00403652"/>
    <w:rsid w:val="00433A86"/>
    <w:rsid w:val="0044476B"/>
    <w:rsid w:val="004646F5"/>
    <w:rsid w:val="004B4D37"/>
    <w:rsid w:val="004B753F"/>
    <w:rsid w:val="004B778B"/>
    <w:rsid w:val="005065A6"/>
    <w:rsid w:val="00507268"/>
    <w:rsid w:val="00536311"/>
    <w:rsid w:val="00546E05"/>
    <w:rsid w:val="005A13B3"/>
    <w:rsid w:val="005F53D1"/>
    <w:rsid w:val="006245ED"/>
    <w:rsid w:val="00680742"/>
    <w:rsid w:val="0068488A"/>
    <w:rsid w:val="006A0B33"/>
    <w:rsid w:val="006C34CB"/>
    <w:rsid w:val="006E16CA"/>
    <w:rsid w:val="006E7C44"/>
    <w:rsid w:val="00751908"/>
    <w:rsid w:val="00752A03"/>
    <w:rsid w:val="00766367"/>
    <w:rsid w:val="007A5D36"/>
    <w:rsid w:val="007D4A8D"/>
    <w:rsid w:val="0080681A"/>
    <w:rsid w:val="00821C1E"/>
    <w:rsid w:val="008336D0"/>
    <w:rsid w:val="0085349A"/>
    <w:rsid w:val="00862419"/>
    <w:rsid w:val="00864E66"/>
    <w:rsid w:val="0087656E"/>
    <w:rsid w:val="00890E00"/>
    <w:rsid w:val="008C5C8B"/>
    <w:rsid w:val="008F7CA7"/>
    <w:rsid w:val="00930B2F"/>
    <w:rsid w:val="009473BD"/>
    <w:rsid w:val="009C3641"/>
    <w:rsid w:val="009D3CDC"/>
    <w:rsid w:val="009E7F7E"/>
    <w:rsid w:val="009F5F96"/>
    <w:rsid w:val="009F6ED7"/>
    <w:rsid w:val="00A33443"/>
    <w:rsid w:val="00A41E54"/>
    <w:rsid w:val="00A51942"/>
    <w:rsid w:val="00A60988"/>
    <w:rsid w:val="00A65444"/>
    <w:rsid w:val="00A8762F"/>
    <w:rsid w:val="00A90ED8"/>
    <w:rsid w:val="00AA0611"/>
    <w:rsid w:val="00AC56AE"/>
    <w:rsid w:val="00AD1199"/>
    <w:rsid w:val="00AF2259"/>
    <w:rsid w:val="00AF23DD"/>
    <w:rsid w:val="00AF32AE"/>
    <w:rsid w:val="00B23266"/>
    <w:rsid w:val="00B2526C"/>
    <w:rsid w:val="00B4138D"/>
    <w:rsid w:val="00B41C66"/>
    <w:rsid w:val="00B428F4"/>
    <w:rsid w:val="00B47AA9"/>
    <w:rsid w:val="00B72ED0"/>
    <w:rsid w:val="00B81793"/>
    <w:rsid w:val="00BB5CD0"/>
    <w:rsid w:val="00BC4DF8"/>
    <w:rsid w:val="00BC54AE"/>
    <w:rsid w:val="00C04E24"/>
    <w:rsid w:val="00C07C7D"/>
    <w:rsid w:val="00C45212"/>
    <w:rsid w:val="00C73EB3"/>
    <w:rsid w:val="00C81D11"/>
    <w:rsid w:val="00C93474"/>
    <w:rsid w:val="00CB0D52"/>
    <w:rsid w:val="00CD5CAE"/>
    <w:rsid w:val="00D35F78"/>
    <w:rsid w:val="00D40752"/>
    <w:rsid w:val="00D43BD1"/>
    <w:rsid w:val="00D4534C"/>
    <w:rsid w:val="00D538DB"/>
    <w:rsid w:val="00D74FE1"/>
    <w:rsid w:val="00DA7E04"/>
    <w:rsid w:val="00DE1317"/>
    <w:rsid w:val="00E00C2D"/>
    <w:rsid w:val="00E02E41"/>
    <w:rsid w:val="00E22234"/>
    <w:rsid w:val="00E3070E"/>
    <w:rsid w:val="00E47D96"/>
    <w:rsid w:val="00EC063A"/>
    <w:rsid w:val="00ED5804"/>
    <w:rsid w:val="00EF40F5"/>
    <w:rsid w:val="00F06123"/>
    <w:rsid w:val="00F14A07"/>
    <w:rsid w:val="00F27A8E"/>
    <w:rsid w:val="00F32DAC"/>
    <w:rsid w:val="00F63828"/>
    <w:rsid w:val="00F81F56"/>
    <w:rsid w:val="00FB05DD"/>
    <w:rsid w:val="00FB3F8D"/>
    <w:rsid w:val="00FE53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C8DD4-61C2-445B-B686-B4A483E8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AE"/>
    <w:rPr>
      <w:rFonts w:ascii="Calibri" w:eastAsia="SimSun" w:hAnsi="Calibri" w:cs="Times New Roman"/>
      <w:lang w:eastAsia="zh-CN"/>
    </w:rPr>
  </w:style>
  <w:style w:type="paragraph" w:styleId="Heading1">
    <w:name w:val="heading 1"/>
    <w:basedOn w:val="Normal"/>
    <w:next w:val="Normal"/>
    <w:link w:val="Heading1Char"/>
    <w:uiPriority w:val="9"/>
    <w:qFormat/>
    <w:rsid w:val="00CD5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D5CAE"/>
    <w:rPr>
      <w:i/>
      <w:iCs/>
    </w:rPr>
  </w:style>
  <w:style w:type="character" w:customStyle="1" w:styleId="harvardtitle">
    <w:name w:val="harvard_title"/>
    <w:rsid w:val="00CD5CAE"/>
  </w:style>
  <w:style w:type="character" w:customStyle="1" w:styleId="Heading1Char">
    <w:name w:val="Heading 1 Char"/>
    <w:basedOn w:val="DefaultParagraphFont"/>
    <w:link w:val="Heading1"/>
    <w:uiPriority w:val="9"/>
    <w:rsid w:val="00CD5CAE"/>
    <w:rPr>
      <w:rFonts w:asciiTheme="majorHAnsi" w:eastAsiaTheme="majorEastAsia" w:hAnsiTheme="majorHAnsi" w:cstheme="majorBidi"/>
      <w:b/>
      <w:bCs/>
      <w:color w:val="365F91" w:themeColor="accent1" w:themeShade="BF"/>
      <w:sz w:val="28"/>
      <w:szCs w:val="28"/>
      <w:lang w:eastAsia="zh-CN"/>
    </w:rPr>
  </w:style>
  <w:style w:type="character" w:customStyle="1" w:styleId="hps">
    <w:name w:val="hps"/>
    <w:rsid w:val="00CD5CAE"/>
  </w:style>
  <w:style w:type="table" w:styleId="TableGrid">
    <w:name w:val="Table Grid"/>
    <w:basedOn w:val="TableNormal"/>
    <w:uiPriority w:val="59"/>
    <w:rsid w:val="004B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03"/>
    <w:rPr>
      <w:rFonts w:ascii="Tahoma" w:eastAsia="SimSun" w:hAnsi="Tahoma" w:cs="Tahoma"/>
      <w:sz w:val="16"/>
      <w:szCs w:val="16"/>
      <w:lang w:eastAsia="zh-CN"/>
    </w:rPr>
  </w:style>
  <w:style w:type="paragraph" w:customStyle="1" w:styleId="EndNoteBibliographyTitle">
    <w:name w:val="EndNote Bibliography Title"/>
    <w:basedOn w:val="Normal"/>
    <w:link w:val="EndNoteBibliographyTitleChar"/>
    <w:rsid w:val="00752A03"/>
    <w:pPr>
      <w:spacing w:after="0"/>
      <w:jc w:val="center"/>
    </w:pPr>
    <w:rPr>
      <w:noProof/>
    </w:rPr>
  </w:style>
  <w:style w:type="character" w:customStyle="1" w:styleId="EndNoteBibliographyTitleChar">
    <w:name w:val="EndNote Bibliography Title Char"/>
    <w:basedOn w:val="DefaultParagraphFont"/>
    <w:link w:val="EndNoteBibliographyTitle"/>
    <w:rsid w:val="00752A03"/>
    <w:rPr>
      <w:rFonts w:ascii="Calibri" w:eastAsia="SimSun" w:hAnsi="Calibri" w:cs="Times New Roman"/>
      <w:noProof/>
      <w:lang w:eastAsia="zh-CN"/>
    </w:rPr>
  </w:style>
  <w:style w:type="paragraph" w:customStyle="1" w:styleId="EndNoteBibliography">
    <w:name w:val="EndNote Bibliography"/>
    <w:basedOn w:val="Normal"/>
    <w:link w:val="EndNoteBibliographyChar"/>
    <w:rsid w:val="00752A03"/>
    <w:pPr>
      <w:spacing w:line="240" w:lineRule="auto"/>
    </w:pPr>
    <w:rPr>
      <w:noProof/>
    </w:rPr>
  </w:style>
  <w:style w:type="character" w:customStyle="1" w:styleId="EndNoteBibliographyChar">
    <w:name w:val="EndNote Bibliography Char"/>
    <w:basedOn w:val="DefaultParagraphFont"/>
    <w:link w:val="EndNoteBibliography"/>
    <w:rsid w:val="00752A03"/>
    <w:rPr>
      <w:rFonts w:ascii="Calibri" w:eastAsia="SimSun" w:hAnsi="Calibri" w:cs="Times New Roman"/>
      <w:noProof/>
      <w:lang w:eastAsia="zh-CN"/>
    </w:rPr>
  </w:style>
  <w:style w:type="paragraph" w:styleId="ListParagraph">
    <w:name w:val="List Paragraph"/>
    <w:basedOn w:val="Normal"/>
    <w:uiPriority w:val="34"/>
    <w:qFormat/>
    <w:rsid w:val="00E22234"/>
    <w:pPr>
      <w:ind w:left="720"/>
      <w:contextualSpacing/>
    </w:pPr>
  </w:style>
  <w:style w:type="paragraph" w:styleId="Header">
    <w:name w:val="header"/>
    <w:basedOn w:val="Normal"/>
    <w:link w:val="HeaderChar"/>
    <w:uiPriority w:val="99"/>
    <w:unhideWhenUsed/>
    <w:rsid w:val="008765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656E"/>
    <w:rPr>
      <w:rFonts w:ascii="Calibri" w:eastAsia="SimSun" w:hAnsi="Calibri" w:cs="Times New Roman"/>
      <w:lang w:eastAsia="zh-CN"/>
    </w:rPr>
  </w:style>
  <w:style w:type="paragraph" w:styleId="Footer">
    <w:name w:val="footer"/>
    <w:basedOn w:val="Normal"/>
    <w:link w:val="FooterChar"/>
    <w:uiPriority w:val="99"/>
    <w:unhideWhenUsed/>
    <w:rsid w:val="008765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656E"/>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A13B3"/>
    <w:rPr>
      <w:sz w:val="16"/>
      <w:szCs w:val="16"/>
    </w:rPr>
  </w:style>
  <w:style w:type="paragraph" w:styleId="CommentText">
    <w:name w:val="annotation text"/>
    <w:basedOn w:val="Normal"/>
    <w:link w:val="CommentTextChar"/>
    <w:uiPriority w:val="99"/>
    <w:semiHidden/>
    <w:unhideWhenUsed/>
    <w:rsid w:val="005A13B3"/>
    <w:pPr>
      <w:spacing w:line="240" w:lineRule="auto"/>
    </w:pPr>
    <w:rPr>
      <w:sz w:val="20"/>
      <w:szCs w:val="20"/>
    </w:rPr>
  </w:style>
  <w:style w:type="character" w:customStyle="1" w:styleId="CommentTextChar">
    <w:name w:val="Comment Text Char"/>
    <w:basedOn w:val="DefaultParagraphFont"/>
    <w:link w:val="CommentText"/>
    <w:uiPriority w:val="99"/>
    <w:semiHidden/>
    <w:rsid w:val="005A13B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A13B3"/>
    <w:rPr>
      <w:b/>
      <w:bCs/>
    </w:rPr>
  </w:style>
  <w:style w:type="character" w:customStyle="1" w:styleId="CommentSubjectChar">
    <w:name w:val="Comment Subject Char"/>
    <w:basedOn w:val="CommentTextChar"/>
    <w:link w:val="CommentSubject"/>
    <w:uiPriority w:val="99"/>
    <w:semiHidden/>
    <w:rsid w:val="005A13B3"/>
    <w:rPr>
      <w:rFonts w:ascii="Calibri" w:eastAsia="SimSun" w:hAnsi="Calibri" w:cs="Times New Roman"/>
      <w:b/>
      <w:bCs/>
      <w:sz w:val="20"/>
      <w:szCs w:val="20"/>
      <w:lang w:eastAsia="zh-CN"/>
    </w:rPr>
  </w:style>
  <w:style w:type="character" w:styleId="Hyperlink">
    <w:name w:val="Hyperlink"/>
    <w:basedOn w:val="DefaultParagraphFont"/>
    <w:uiPriority w:val="99"/>
    <w:unhideWhenUsed/>
    <w:rsid w:val="005A1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io.no/english/about/getting-around/areas/geitmyrsveien-ulleval/gv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136/jme.2006.019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2814</Words>
  <Characters>14919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bjornmho_local</dc:creator>
  <cp:lastModifiedBy>Synneve Øvsthus</cp:lastModifiedBy>
  <cp:revision>2</cp:revision>
  <cp:lastPrinted>2017-06-11T08:42:00Z</cp:lastPrinted>
  <dcterms:created xsi:type="dcterms:W3CDTF">2018-05-29T10:58:00Z</dcterms:created>
  <dcterms:modified xsi:type="dcterms:W3CDTF">2018-05-29T10:58:00Z</dcterms:modified>
</cp:coreProperties>
</file>