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94" w:rsidRDefault="005D2B94" w:rsidP="005D2B94">
      <w:pPr>
        <w:spacing w:before="73"/>
        <w:ind w:left="116"/>
        <w:rPr>
          <w:sz w:val="28"/>
          <w:szCs w:val="28"/>
        </w:rPr>
      </w:pPr>
      <w:bookmarkStart w:id="0" w:name="_GoBack"/>
      <w:bookmarkEnd w:id="0"/>
      <w:r>
        <w:rPr>
          <w:b/>
          <w:spacing w:val="-1"/>
          <w:sz w:val="28"/>
          <w:szCs w:val="28"/>
        </w:rPr>
        <w:t>Å</w:t>
      </w:r>
      <w:r>
        <w:rPr>
          <w:b/>
          <w:sz w:val="28"/>
          <w:szCs w:val="28"/>
        </w:rPr>
        <w:t>r</w:t>
      </w:r>
      <w:r>
        <w:rPr>
          <w:b/>
          <w:spacing w:val="1"/>
          <w:sz w:val="28"/>
          <w:szCs w:val="28"/>
        </w:rPr>
        <w:t>s</w:t>
      </w:r>
      <w:r>
        <w:rPr>
          <w:b/>
          <w:sz w:val="28"/>
          <w:szCs w:val="28"/>
        </w:rPr>
        <w:t>r</w:t>
      </w:r>
      <w:r>
        <w:rPr>
          <w:b/>
          <w:spacing w:val="-1"/>
          <w:sz w:val="28"/>
          <w:szCs w:val="28"/>
        </w:rPr>
        <w:t>a</w:t>
      </w:r>
      <w:r>
        <w:rPr>
          <w:b/>
          <w:sz w:val="28"/>
          <w:szCs w:val="28"/>
        </w:rPr>
        <w:t>pp</w:t>
      </w:r>
      <w:r>
        <w:rPr>
          <w:b/>
          <w:spacing w:val="-1"/>
          <w:sz w:val="28"/>
          <w:szCs w:val="28"/>
        </w:rPr>
        <w:t>o</w:t>
      </w:r>
      <w:r>
        <w:rPr>
          <w:b/>
          <w:sz w:val="28"/>
          <w:szCs w:val="28"/>
        </w:rPr>
        <w:t>rt f</w:t>
      </w:r>
      <w:r>
        <w:rPr>
          <w:b/>
          <w:spacing w:val="-1"/>
          <w:sz w:val="28"/>
          <w:szCs w:val="28"/>
        </w:rPr>
        <w:t>o</w:t>
      </w:r>
      <w:r>
        <w:rPr>
          <w:b/>
          <w:sz w:val="28"/>
          <w:szCs w:val="28"/>
        </w:rPr>
        <w:t xml:space="preserve">r </w:t>
      </w:r>
      <w:r>
        <w:rPr>
          <w:b/>
          <w:spacing w:val="-2"/>
          <w:sz w:val="28"/>
          <w:szCs w:val="28"/>
        </w:rPr>
        <w:t>2</w:t>
      </w:r>
      <w:r>
        <w:rPr>
          <w:b/>
          <w:spacing w:val="1"/>
          <w:sz w:val="28"/>
          <w:szCs w:val="28"/>
        </w:rPr>
        <w:t>0</w:t>
      </w:r>
      <w:r>
        <w:rPr>
          <w:b/>
          <w:spacing w:val="-1"/>
          <w:sz w:val="28"/>
          <w:szCs w:val="28"/>
        </w:rPr>
        <w:t>13</w:t>
      </w:r>
      <w:r>
        <w:rPr>
          <w:b/>
          <w:sz w:val="28"/>
          <w:szCs w:val="28"/>
        </w:rPr>
        <w:t>,</w:t>
      </w:r>
      <w:r>
        <w:rPr>
          <w:b/>
          <w:spacing w:val="-1"/>
          <w:sz w:val="28"/>
          <w:szCs w:val="28"/>
        </w:rPr>
        <w:t xml:space="preserve"> M</w:t>
      </w:r>
      <w:r>
        <w:rPr>
          <w:b/>
          <w:spacing w:val="1"/>
          <w:sz w:val="28"/>
          <w:szCs w:val="28"/>
        </w:rPr>
        <w:t>as</w:t>
      </w:r>
      <w:r>
        <w:rPr>
          <w:b/>
          <w:sz w:val="28"/>
          <w:szCs w:val="28"/>
        </w:rPr>
        <w:t>ter</w:t>
      </w:r>
      <w:r>
        <w:rPr>
          <w:b/>
          <w:spacing w:val="-2"/>
          <w:sz w:val="28"/>
          <w:szCs w:val="28"/>
        </w:rPr>
        <w:t>p</w:t>
      </w:r>
      <w:r>
        <w:rPr>
          <w:b/>
          <w:sz w:val="28"/>
          <w:szCs w:val="28"/>
        </w:rPr>
        <w:t>r</w:t>
      </w:r>
      <w:r>
        <w:rPr>
          <w:b/>
          <w:spacing w:val="-1"/>
          <w:sz w:val="28"/>
          <w:szCs w:val="28"/>
        </w:rPr>
        <w:t>o</w:t>
      </w:r>
      <w:r>
        <w:rPr>
          <w:b/>
          <w:spacing w:val="1"/>
          <w:sz w:val="28"/>
          <w:szCs w:val="28"/>
        </w:rPr>
        <w:t>g</w:t>
      </w:r>
      <w:r>
        <w:rPr>
          <w:b/>
          <w:spacing w:val="-2"/>
          <w:sz w:val="28"/>
          <w:szCs w:val="28"/>
        </w:rPr>
        <w:t>r</w:t>
      </w:r>
      <w:r>
        <w:rPr>
          <w:b/>
          <w:spacing w:val="1"/>
          <w:sz w:val="28"/>
          <w:szCs w:val="28"/>
        </w:rPr>
        <w:t>a</w:t>
      </w:r>
      <w:r>
        <w:rPr>
          <w:b/>
          <w:spacing w:val="-3"/>
          <w:sz w:val="28"/>
          <w:szCs w:val="28"/>
        </w:rPr>
        <w:t>mm</w:t>
      </w:r>
      <w:r>
        <w:rPr>
          <w:b/>
          <w:spacing w:val="2"/>
          <w:sz w:val="28"/>
          <w:szCs w:val="28"/>
        </w:rPr>
        <w:t>e</w:t>
      </w:r>
      <w:r>
        <w:rPr>
          <w:b/>
          <w:sz w:val="28"/>
          <w:szCs w:val="28"/>
        </w:rPr>
        <w:t>t He</w:t>
      </w:r>
      <w:r>
        <w:rPr>
          <w:b/>
          <w:spacing w:val="-2"/>
          <w:sz w:val="28"/>
          <w:szCs w:val="28"/>
        </w:rPr>
        <w:t>a</w:t>
      </w:r>
      <w:r>
        <w:rPr>
          <w:b/>
          <w:spacing w:val="1"/>
          <w:sz w:val="28"/>
          <w:szCs w:val="28"/>
        </w:rPr>
        <w:t>l</w:t>
      </w:r>
      <w:r>
        <w:rPr>
          <w:b/>
          <w:sz w:val="28"/>
          <w:szCs w:val="28"/>
        </w:rPr>
        <w:t>th E</w:t>
      </w:r>
      <w:r>
        <w:rPr>
          <w:b/>
          <w:spacing w:val="-3"/>
          <w:sz w:val="28"/>
          <w:szCs w:val="28"/>
        </w:rPr>
        <w:t>c</w:t>
      </w:r>
      <w:r>
        <w:rPr>
          <w:b/>
          <w:spacing w:val="1"/>
          <w:sz w:val="28"/>
          <w:szCs w:val="28"/>
        </w:rPr>
        <w:t>o</w:t>
      </w:r>
      <w:r>
        <w:rPr>
          <w:b/>
          <w:spacing w:val="-3"/>
          <w:sz w:val="28"/>
          <w:szCs w:val="28"/>
        </w:rPr>
        <w:t>n</w:t>
      </w:r>
      <w:r>
        <w:rPr>
          <w:b/>
          <w:spacing w:val="1"/>
          <w:sz w:val="28"/>
          <w:szCs w:val="28"/>
        </w:rPr>
        <w:t>o</w:t>
      </w:r>
      <w:r>
        <w:rPr>
          <w:b/>
          <w:spacing w:val="-3"/>
          <w:sz w:val="28"/>
          <w:szCs w:val="28"/>
        </w:rPr>
        <w:t>m</w:t>
      </w:r>
      <w:r>
        <w:rPr>
          <w:b/>
          <w:spacing w:val="1"/>
          <w:sz w:val="28"/>
          <w:szCs w:val="28"/>
        </w:rPr>
        <w:t>i</w:t>
      </w:r>
      <w:r>
        <w:rPr>
          <w:b/>
          <w:sz w:val="28"/>
          <w:szCs w:val="28"/>
        </w:rPr>
        <w:t>c</w:t>
      </w:r>
      <w:r>
        <w:rPr>
          <w:b/>
          <w:spacing w:val="1"/>
          <w:sz w:val="28"/>
          <w:szCs w:val="28"/>
        </w:rPr>
        <w:t>s</w:t>
      </w:r>
      <w:r>
        <w:rPr>
          <w:b/>
          <w:sz w:val="28"/>
          <w:szCs w:val="28"/>
        </w:rPr>
        <w:t>,</w:t>
      </w:r>
      <w:r>
        <w:rPr>
          <w:b/>
          <w:spacing w:val="-3"/>
          <w:sz w:val="28"/>
          <w:szCs w:val="28"/>
        </w:rPr>
        <w:t xml:space="preserve"> </w:t>
      </w:r>
      <w:r>
        <w:rPr>
          <w:b/>
          <w:spacing w:val="-2"/>
          <w:sz w:val="28"/>
          <w:szCs w:val="28"/>
        </w:rPr>
        <w:t>P</w:t>
      </w:r>
      <w:r>
        <w:rPr>
          <w:b/>
          <w:spacing w:val="1"/>
          <w:sz w:val="28"/>
          <w:szCs w:val="28"/>
        </w:rPr>
        <w:t>ol</w:t>
      </w:r>
      <w:r>
        <w:rPr>
          <w:b/>
          <w:spacing w:val="-1"/>
          <w:sz w:val="28"/>
          <w:szCs w:val="28"/>
        </w:rPr>
        <w:t>i</w:t>
      </w:r>
      <w:r>
        <w:rPr>
          <w:b/>
          <w:sz w:val="28"/>
          <w:szCs w:val="28"/>
        </w:rPr>
        <w:t>cy</w:t>
      </w:r>
      <w:r>
        <w:rPr>
          <w:b/>
          <w:spacing w:val="-2"/>
          <w:sz w:val="28"/>
          <w:szCs w:val="28"/>
        </w:rPr>
        <w:t xml:space="preserve"> </w:t>
      </w:r>
      <w:r>
        <w:rPr>
          <w:b/>
          <w:spacing w:val="1"/>
          <w:sz w:val="28"/>
          <w:szCs w:val="28"/>
        </w:rPr>
        <w:t>a</w:t>
      </w:r>
      <w:r>
        <w:rPr>
          <w:b/>
          <w:sz w:val="28"/>
          <w:szCs w:val="28"/>
        </w:rPr>
        <w:t>nd</w:t>
      </w:r>
    </w:p>
    <w:p w:rsidR="005D2B94" w:rsidRPr="00604FE9" w:rsidRDefault="005D2B94" w:rsidP="005D2B94">
      <w:pPr>
        <w:spacing w:before="2"/>
        <w:ind w:left="116"/>
        <w:rPr>
          <w:sz w:val="28"/>
          <w:szCs w:val="28"/>
        </w:rPr>
      </w:pPr>
      <w:r w:rsidRPr="00604FE9">
        <w:rPr>
          <w:b/>
          <w:spacing w:val="-1"/>
          <w:sz w:val="28"/>
          <w:szCs w:val="28"/>
        </w:rPr>
        <w:t>M</w:t>
      </w:r>
      <w:r w:rsidRPr="00604FE9">
        <w:rPr>
          <w:b/>
          <w:spacing w:val="1"/>
          <w:sz w:val="28"/>
          <w:szCs w:val="28"/>
        </w:rPr>
        <w:t>a</w:t>
      </w:r>
      <w:r w:rsidRPr="00604FE9">
        <w:rPr>
          <w:b/>
          <w:sz w:val="28"/>
          <w:szCs w:val="28"/>
        </w:rPr>
        <w:t>n</w:t>
      </w:r>
      <w:r w:rsidRPr="00604FE9">
        <w:rPr>
          <w:b/>
          <w:spacing w:val="-1"/>
          <w:sz w:val="28"/>
          <w:szCs w:val="28"/>
        </w:rPr>
        <w:t>a</w:t>
      </w:r>
      <w:r w:rsidRPr="00604FE9">
        <w:rPr>
          <w:b/>
          <w:spacing w:val="1"/>
          <w:sz w:val="28"/>
          <w:szCs w:val="28"/>
        </w:rPr>
        <w:t>g</w:t>
      </w:r>
      <w:r w:rsidRPr="00604FE9">
        <w:rPr>
          <w:b/>
          <w:sz w:val="28"/>
          <w:szCs w:val="28"/>
        </w:rPr>
        <w:t>e</w:t>
      </w:r>
      <w:r w:rsidRPr="00604FE9">
        <w:rPr>
          <w:b/>
          <w:spacing w:val="-3"/>
          <w:sz w:val="28"/>
          <w:szCs w:val="28"/>
        </w:rPr>
        <w:t>m</w:t>
      </w:r>
      <w:r w:rsidRPr="00604FE9">
        <w:rPr>
          <w:b/>
          <w:sz w:val="28"/>
          <w:szCs w:val="28"/>
        </w:rPr>
        <w:t>ent</w:t>
      </w:r>
    </w:p>
    <w:p w:rsidR="005D2B94" w:rsidRPr="00604FE9" w:rsidRDefault="005D2B94" w:rsidP="005D2B94">
      <w:pPr>
        <w:spacing w:line="260" w:lineRule="exact"/>
        <w:ind w:left="116"/>
        <w:rPr>
          <w:sz w:val="24"/>
          <w:szCs w:val="24"/>
        </w:rPr>
      </w:pPr>
      <w:r w:rsidRPr="00604FE9">
        <w:rPr>
          <w:sz w:val="24"/>
          <w:szCs w:val="24"/>
        </w:rPr>
        <w:t>Kopi s</w:t>
      </w:r>
      <w:r w:rsidRPr="00604FE9">
        <w:rPr>
          <w:spacing w:val="-1"/>
          <w:sz w:val="24"/>
          <w:szCs w:val="24"/>
        </w:rPr>
        <w:t>e</w:t>
      </w:r>
      <w:r w:rsidRPr="00604FE9">
        <w:rPr>
          <w:sz w:val="24"/>
          <w:szCs w:val="24"/>
        </w:rPr>
        <w:t>nd</w:t>
      </w:r>
      <w:r w:rsidRPr="00604FE9">
        <w:rPr>
          <w:spacing w:val="-1"/>
          <w:sz w:val="24"/>
          <w:szCs w:val="24"/>
        </w:rPr>
        <w:t>e</w:t>
      </w:r>
      <w:r w:rsidRPr="00604FE9">
        <w:rPr>
          <w:sz w:val="24"/>
          <w:szCs w:val="24"/>
        </w:rPr>
        <w:t>s in</w:t>
      </w:r>
      <w:r w:rsidRPr="00604FE9">
        <w:rPr>
          <w:spacing w:val="1"/>
          <w:sz w:val="24"/>
          <w:szCs w:val="24"/>
        </w:rPr>
        <w:t>s</w:t>
      </w:r>
      <w:r w:rsidRPr="00604FE9">
        <w:rPr>
          <w:sz w:val="24"/>
          <w:szCs w:val="24"/>
        </w:rPr>
        <w:t>t</w:t>
      </w:r>
      <w:r w:rsidRPr="00604FE9">
        <w:rPr>
          <w:spacing w:val="1"/>
          <w:sz w:val="24"/>
          <w:szCs w:val="24"/>
        </w:rPr>
        <w:t>i</w:t>
      </w:r>
      <w:r w:rsidRPr="00604FE9">
        <w:rPr>
          <w:sz w:val="24"/>
          <w:szCs w:val="24"/>
        </w:rPr>
        <w:t>tu</w:t>
      </w:r>
      <w:r w:rsidRPr="00604FE9">
        <w:rPr>
          <w:spacing w:val="1"/>
          <w:sz w:val="24"/>
          <w:szCs w:val="24"/>
        </w:rPr>
        <w:t>t</w:t>
      </w:r>
      <w:r w:rsidRPr="00604FE9">
        <w:rPr>
          <w:sz w:val="24"/>
          <w:szCs w:val="24"/>
        </w:rPr>
        <w:t>t</w:t>
      </w:r>
      <w:r w:rsidRPr="00604FE9">
        <w:rPr>
          <w:spacing w:val="1"/>
          <w:sz w:val="24"/>
          <w:szCs w:val="24"/>
        </w:rPr>
        <w:t>l</w:t>
      </w:r>
      <w:r w:rsidRPr="00604FE9">
        <w:rPr>
          <w:spacing w:val="-1"/>
          <w:sz w:val="24"/>
          <w:szCs w:val="24"/>
        </w:rPr>
        <w:t>e</w:t>
      </w:r>
      <w:r w:rsidRPr="00604FE9">
        <w:rPr>
          <w:sz w:val="24"/>
          <w:szCs w:val="24"/>
        </w:rPr>
        <w:t>d</w:t>
      </w:r>
      <w:r w:rsidRPr="00604FE9">
        <w:rPr>
          <w:spacing w:val="-1"/>
          <w:sz w:val="24"/>
          <w:szCs w:val="24"/>
        </w:rPr>
        <w:t>e</w:t>
      </w:r>
      <w:r w:rsidRPr="00604FE9">
        <w:rPr>
          <w:sz w:val="24"/>
          <w:szCs w:val="24"/>
        </w:rPr>
        <w:t>r</w:t>
      </w:r>
    </w:p>
    <w:p w:rsidR="003C6B61" w:rsidRDefault="0091254D"/>
    <w:p w:rsidR="005D2B94" w:rsidRDefault="005D2B94"/>
    <w:tbl>
      <w:tblPr>
        <w:tblStyle w:val="TableGrid"/>
        <w:tblpPr w:leftFromText="141" w:rightFromText="141" w:vertAnchor="page" w:horzAnchor="margin" w:tblpY="2329"/>
        <w:tblW w:w="0" w:type="auto"/>
        <w:tblLook w:val="04A0" w:firstRow="1" w:lastRow="0" w:firstColumn="1" w:lastColumn="0" w:noHBand="0" w:noVBand="1"/>
      </w:tblPr>
      <w:tblGrid>
        <w:gridCol w:w="9288"/>
      </w:tblGrid>
      <w:tr w:rsidR="005D2B94" w:rsidRPr="003E6493" w:rsidTr="005D2B94">
        <w:tc>
          <w:tcPr>
            <w:tcW w:w="9288" w:type="dxa"/>
          </w:tcPr>
          <w:p w:rsidR="005D2B94" w:rsidRPr="005D2B94" w:rsidRDefault="005D2B94" w:rsidP="005D2B94">
            <w:pPr>
              <w:numPr>
                <w:ilvl w:val="0"/>
                <w:numId w:val="1"/>
              </w:numPr>
              <w:rPr>
                <w:lang w:val="nb-NO"/>
              </w:rPr>
            </w:pPr>
            <w:r w:rsidRPr="005D2B94">
              <w:rPr>
                <w:b/>
                <w:lang w:val="nb-NO"/>
              </w:rPr>
              <w:t>Det viktigste studiekvalitetstiltaket for programmet i 2013.</w:t>
            </w:r>
          </w:p>
          <w:p w:rsidR="005D2B94" w:rsidRPr="005D2B94" w:rsidRDefault="005D2B94" w:rsidP="005D2B94">
            <w:pPr>
              <w:rPr>
                <w:lang w:val="nb-NO"/>
              </w:rPr>
            </w:pPr>
            <w:r w:rsidRPr="005D2B94">
              <w:rPr>
                <w:b/>
                <w:i/>
                <w:lang w:val="nb-NO"/>
              </w:rPr>
              <w:t>Beskrivelse: Tiltak, gjennomføring, resultat, sterke og svake sider</w:t>
            </w:r>
          </w:p>
        </w:tc>
      </w:tr>
      <w:tr w:rsidR="005D2B94" w:rsidRPr="003E6493" w:rsidTr="005D2B94">
        <w:tc>
          <w:tcPr>
            <w:tcW w:w="9288" w:type="dxa"/>
          </w:tcPr>
          <w:p w:rsidR="005D2B94" w:rsidRPr="005D2B94" w:rsidRDefault="005D2B94" w:rsidP="005D2B94">
            <w:pPr>
              <w:rPr>
                <w:lang w:val="nb-NO"/>
              </w:rPr>
            </w:pPr>
            <w:r w:rsidRPr="005D2B94">
              <w:rPr>
                <w:lang w:val="nb-NO"/>
              </w:rPr>
              <w:t xml:space="preserve">I 2013 delte vi opp kursene i bolker av seks uker med fempoengskurs i stedet for tipoengskurs som gikk over hele semesteret. Dette var en stor omlegging og målet var å gi mer intensive forelesninger og seminarer der studentene kunne konsentrere seg om færre emner samtidig. </w:t>
            </w:r>
            <w:r w:rsidR="003E6493">
              <w:rPr>
                <w:lang w:val="nb-NO"/>
              </w:rPr>
              <w:t>Vi har også innført tre ulike spesialiseringer der studenter som har et visst antall kurs innenfor spesialiseringen (helseledelse, helseøkonomi, økonomisk evaluering) kan synliggjøre dette for arbeidsgivere.</w:t>
            </w:r>
          </w:p>
          <w:p w:rsidR="005D2B94" w:rsidRPr="005D2B94" w:rsidRDefault="005D2B94" w:rsidP="005D2B94">
            <w:pPr>
              <w:rPr>
                <w:lang w:val="nb-NO"/>
              </w:rPr>
            </w:pPr>
          </w:p>
          <w:p w:rsidR="005D2B94" w:rsidRPr="005D2B94" w:rsidRDefault="005D2B94" w:rsidP="005D2B94">
            <w:pPr>
              <w:rPr>
                <w:lang w:val="nb-NO"/>
              </w:rPr>
            </w:pPr>
            <w:r w:rsidRPr="005D2B94">
              <w:rPr>
                <w:lang w:val="nb-NO"/>
              </w:rPr>
              <w:t>Omleggingen skapte et betydelig merarbeid i form av koordinasjon, flere eksamener, oppdeling av kurs der innholdet og omfanget må justeres underveis, men også større fleksibilitet for studenter og undervisere. Omstruktureringen har også ført til at alle kurs har blitt gjennomgått grundig, noe som har ført til kvalitetssikring av programmet.</w:t>
            </w:r>
          </w:p>
          <w:p w:rsidR="005D2B94" w:rsidRPr="005D2B94" w:rsidRDefault="005D2B94" w:rsidP="005D2B94">
            <w:pPr>
              <w:rPr>
                <w:lang w:val="nb-NO"/>
              </w:rPr>
            </w:pPr>
          </w:p>
        </w:tc>
      </w:tr>
      <w:tr w:rsidR="005D2B94" w:rsidRPr="003E6493" w:rsidTr="005D2B94">
        <w:tc>
          <w:tcPr>
            <w:tcW w:w="9288" w:type="dxa"/>
          </w:tcPr>
          <w:p w:rsidR="005D2B94" w:rsidRPr="005D2B94" w:rsidRDefault="005D2B94" w:rsidP="005D2B94">
            <w:pPr>
              <w:numPr>
                <w:ilvl w:val="0"/>
                <w:numId w:val="1"/>
              </w:numPr>
              <w:rPr>
                <w:lang w:val="nb-NO"/>
              </w:rPr>
            </w:pPr>
            <w:r w:rsidRPr="005D2B94">
              <w:rPr>
                <w:b/>
                <w:lang w:val="nb-NO"/>
              </w:rPr>
              <w:t>Evalueringer som er foretatt (kort om typer og gjennomføring)</w:t>
            </w:r>
          </w:p>
        </w:tc>
      </w:tr>
      <w:tr w:rsidR="005D2B94" w:rsidRPr="003E6493" w:rsidTr="005D2B94">
        <w:tc>
          <w:tcPr>
            <w:tcW w:w="9288" w:type="dxa"/>
          </w:tcPr>
          <w:p w:rsidR="005D2B94" w:rsidRPr="005D2B94" w:rsidRDefault="005D2B94" w:rsidP="005D2B94">
            <w:pPr>
              <w:rPr>
                <w:lang w:val="nb-NO"/>
              </w:rPr>
            </w:pPr>
            <w:r w:rsidRPr="005D2B94">
              <w:rPr>
                <w:lang w:val="nb-NO"/>
              </w:rPr>
              <w:t>Det er gjennomført to midtveisevalueringer (høst og vår) hvor studentrepresentanter fra begge kull har vært tilstede. Ved disse møtene har programleder og studiekonsulent møtt som representanter for Avdelingen. I disse møtene gir studentrepresentantene en tilbakemelding på hvert emne og hensikten er at man skal kunne gjøre justeringer underveis om det er noe som ikke fungerer ved undervisningen.</w:t>
            </w:r>
          </w:p>
          <w:p w:rsidR="005D2B94" w:rsidRPr="005D2B94" w:rsidRDefault="005D2B94" w:rsidP="005D2B94">
            <w:pPr>
              <w:rPr>
                <w:lang w:val="nb-NO"/>
              </w:rPr>
            </w:pPr>
          </w:p>
        </w:tc>
      </w:tr>
      <w:tr w:rsidR="005D2B94" w:rsidRPr="003E6493" w:rsidTr="005D2B94">
        <w:tc>
          <w:tcPr>
            <w:tcW w:w="9288" w:type="dxa"/>
          </w:tcPr>
          <w:p w:rsidR="005D2B94" w:rsidRPr="005D2B94" w:rsidRDefault="005D2B94" w:rsidP="005D2B94">
            <w:pPr>
              <w:numPr>
                <w:ilvl w:val="1"/>
                <w:numId w:val="1"/>
              </w:numPr>
              <w:rPr>
                <w:lang w:val="nb-NO"/>
              </w:rPr>
            </w:pPr>
            <w:r w:rsidRPr="005D2B94">
              <w:rPr>
                <w:b/>
                <w:lang w:val="nb-NO"/>
              </w:rPr>
              <w:t>Hovedtrekk fra alle evalueringer</w:t>
            </w:r>
          </w:p>
          <w:p w:rsidR="005D2B94" w:rsidRPr="005D2B94" w:rsidRDefault="005D2B94" w:rsidP="005D2B94">
            <w:pPr>
              <w:rPr>
                <w:lang w:val="nb-NO"/>
              </w:rPr>
            </w:pPr>
            <w:r w:rsidRPr="005D2B94">
              <w:rPr>
                <w:b/>
                <w:i/>
                <w:lang w:val="nb-NO"/>
              </w:rPr>
              <w:t>Sterke og svake sider ved utdanningstilbudet. Hvilke deler fungerer bra, hvilke problemer har blitt rapportert?</w:t>
            </w:r>
          </w:p>
        </w:tc>
      </w:tr>
      <w:tr w:rsidR="005D2B94" w:rsidRPr="005D2B94" w:rsidTr="005D2B94">
        <w:tc>
          <w:tcPr>
            <w:tcW w:w="9288" w:type="dxa"/>
          </w:tcPr>
          <w:p w:rsidR="005D2B94" w:rsidRPr="005D2B94" w:rsidRDefault="005D2B94" w:rsidP="005D2B94">
            <w:pPr>
              <w:rPr>
                <w:lang w:val="nb-NO"/>
              </w:rPr>
            </w:pPr>
            <w:r w:rsidRPr="005D2B94">
              <w:rPr>
                <w:lang w:val="nb-NO"/>
              </w:rPr>
              <w:t>Midtveisevaluering vår: Studentrepresentantene ga uttrykk for at de var fornøyde med</w:t>
            </w:r>
          </w:p>
          <w:p w:rsidR="005D2B94" w:rsidRPr="005D2B94" w:rsidRDefault="005D2B94" w:rsidP="005D2B94">
            <w:pPr>
              <w:rPr>
                <w:lang w:val="nb-NO"/>
              </w:rPr>
            </w:pPr>
            <w:r w:rsidRPr="005D2B94">
              <w:rPr>
                <w:lang w:val="nb-NO"/>
              </w:rPr>
              <w:t>de fleste fag og undervisningen som blir gitt. Det var ett emne, som ble kritisert for ikke å ha all undervisning på engelsk, samt for ikke å ha en foreleser som klarer å binde pensum sammen til en helhet. Det var noe problematisk å få inn tilbakemeldinger på emnene ettersom studentene ikke så behovet for dette når emnet likevel skal legges ned. Videre føler siste-års masterstudenter at de mangler informasjon ang. det praktiske rundt masteroppgaveinnlevering.</w:t>
            </w:r>
          </w:p>
          <w:p w:rsidR="005D2B94" w:rsidRPr="005D2B94" w:rsidRDefault="005D2B94" w:rsidP="005D2B94">
            <w:pPr>
              <w:rPr>
                <w:lang w:val="nb-NO"/>
              </w:rPr>
            </w:pPr>
          </w:p>
          <w:p w:rsidR="005D2B94" w:rsidRPr="005D2B94" w:rsidRDefault="005D2B94" w:rsidP="005D2B94">
            <w:pPr>
              <w:rPr>
                <w:lang w:val="nb-NO"/>
              </w:rPr>
            </w:pPr>
            <w:r w:rsidRPr="005D2B94">
              <w:rPr>
                <w:lang w:val="nb-NO"/>
              </w:rPr>
              <w:t>Midtveisevaluering høst: Studentrepresentantene synes generelt at emnene er interessante. Et gjennomgående problem har vist seg at pensum ikke er halvert, selv om studiepoengene har blitt det. Det fører til at studentene gir tilbakemelding på at det er for mye å gjøre. Studentene ga også uttrykk for at de ønsker mer og klarere informasjon om pensum og innhold av emnene på et tidligere stadium og at dette ikke skal endres i løpet av kurset. Det vil gjøre det mer forutsigbart for studentene når de vet akkurat hva de skal forholde seg til. I tillegg ble ett emne med en innleid professor fra utlandet omtalt som rotete.</w:t>
            </w:r>
          </w:p>
          <w:p w:rsidR="005D2B94" w:rsidRPr="005D2B94" w:rsidRDefault="005D2B94" w:rsidP="005D2B94">
            <w:pPr>
              <w:rPr>
                <w:lang w:val="nb-NO"/>
              </w:rPr>
            </w:pPr>
          </w:p>
        </w:tc>
      </w:tr>
      <w:tr w:rsidR="005D2B94" w:rsidRPr="005D2B94" w:rsidTr="005D2B94">
        <w:tc>
          <w:tcPr>
            <w:tcW w:w="9288" w:type="dxa"/>
          </w:tcPr>
          <w:p w:rsidR="005D2B94" w:rsidRPr="005D2B94" w:rsidRDefault="005D2B94" w:rsidP="005D2B94">
            <w:pPr>
              <w:rPr>
                <w:lang w:val="nb-NO"/>
              </w:rPr>
            </w:pPr>
            <w:r w:rsidRPr="005D2B94">
              <w:rPr>
                <w:b/>
                <w:lang w:val="nb-NO"/>
              </w:rPr>
              <w:t>2.2.           Hvilke tiltak er iverksatt</w:t>
            </w:r>
          </w:p>
        </w:tc>
      </w:tr>
      <w:tr w:rsidR="005D2B94" w:rsidRPr="003E6493" w:rsidTr="005D2B94">
        <w:tc>
          <w:tcPr>
            <w:tcW w:w="9288" w:type="dxa"/>
          </w:tcPr>
          <w:p w:rsidR="005D2B94" w:rsidRPr="005D2B94" w:rsidRDefault="005D2B94" w:rsidP="005D2B94">
            <w:pPr>
              <w:rPr>
                <w:lang w:val="nb-NO"/>
              </w:rPr>
            </w:pPr>
            <w:r w:rsidRPr="005D2B94">
              <w:rPr>
                <w:lang w:val="nb-NO"/>
              </w:rPr>
              <w:t>Etter hver midtveisevaluering informerer programlederne lærerne om tilbakemeldinger fra studentrepresentantene. Administrasjonen gjennomførte et informasjonsmøte hvor en gikk gjennom praktiske detaljer rundt innlevering av masteroppgave etter påske. På høstsemesteret ble nettsidene forbedret og all informasjon skal nå være å finne på nettet. Tilbakemelding ang. pensum ble også tatt opp på lærermøte på høsten.</w:t>
            </w:r>
          </w:p>
        </w:tc>
      </w:tr>
      <w:tr w:rsidR="005D2B94" w:rsidRPr="005D2B94" w:rsidTr="005D2B94">
        <w:tc>
          <w:tcPr>
            <w:tcW w:w="9288" w:type="dxa"/>
          </w:tcPr>
          <w:p w:rsidR="005D2B94" w:rsidRPr="005D2B94" w:rsidRDefault="005D2B94" w:rsidP="005D2B94">
            <w:pPr>
              <w:rPr>
                <w:lang w:val="nb-NO"/>
              </w:rPr>
            </w:pPr>
            <w:r w:rsidRPr="005D2B94">
              <w:rPr>
                <w:b/>
                <w:lang w:val="nb-NO"/>
              </w:rPr>
              <w:t>2.3.            Hva skal iverksettes</w:t>
            </w:r>
          </w:p>
          <w:p w:rsidR="005D2B94" w:rsidRPr="005D2B94" w:rsidRDefault="005D2B94" w:rsidP="005D2B94">
            <w:pPr>
              <w:rPr>
                <w:b/>
                <w:i/>
                <w:lang w:val="nb-NO"/>
              </w:rPr>
            </w:pPr>
            <w:r w:rsidRPr="005D2B94">
              <w:rPr>
                <w:b/>
                <w:i/>
                <w:lang w:val="nb-NO"/>
              </w:rPr>
              <w:t>Oppfølgingstiltak</w:t>
            </w:r>
          </w:p>
        </w:tc>
      </w:tr>
      <w:tr w:rsidR="005D2B94" w:rsidRPr="003E6493" w:rsidTr="005D2B94">
        <w:tc>
          <w:tcPr>
            <w:tcW w:w="9288" w:type="dxa"/>
          </w:tcPr>
          <w:p w:rsidR="005D2B94" w:rsidRPr="005D2B94" w:rsidRDefault="005D2B94" w:rsidP="005D2B94">
            <w:pPr>
              <w:rPr>
                <w:lang w:val="nb-NO"/>
              </w:rPr>
            </w:pPr>
            <w:r w:rsidRPr="005D2B94">
              <w:rPr>
                <w:lang w:val="nb-NO"/>
              </w:rPr>
              <w:t>Vi jobber med muligheter for å kutte ned på antall skoleeksamener, ettersom dette er administrativt krevende. En jobber også med å få all informasjon ang. emnet på emnesiden i god tid og gi beskjed til foreleser om at evt. endringer må være minimale. Problemet med en innleid professor forsøker en å løse til høsten 2014 ved å bruke en intern foreleser.</w:t>
            </w:r>
          </w:p>
          <w:p w:rsidR="005D2B94" w:rsidRPr="005D2B94" w:rsidRDefault="005D2B94" w:rsidP="005D2B94">
            <w:pPr>
              <w:rPr>
                <w:lang w:val="nb-NO"/>
              </w:rPr>
            </w:pPr>
          </w:p>
        </w:tc>
      </w:tr>
      <w:tr w:rsidR="005D2B94" w:rsidRPr="003E6493" w:rsidTr="005D2B94">
        <w:tc>
          <w:tcPr>
            <w:tcW w:w="9288" w:type="dxa"/>
          </w:tcPr>
          <w:p w:rsidR="005D2B94" w:rsidRPr="005D2B94" w:rsidRDefault="005D2B94" w:rsidP="005D2B94">
            <w:pPr>
              <w:rPr>
                <w:lang w:val="nb-NO"/>
              </w:rPr>
            </w:pPr>
            <w:r w:rsidRPr="005D2B94">
              <w:rPr>
                <w:b/>
                <w:lang w:val="nb-NO"/>
              </w:rPr>
              <w:t>2.4.           Begrunnelse for at enkelte studentevalueringer ikke tas til følge</w:t>
            </w:r>
          </w:p>
        </w:tc>
      </w:tr>
      <w:tr w:rsidR="005D2B94" w:rsidRPr="003E6493" w:rsidTr="005D2B94">
        <w:tc>
          <w:tcPr>
            <w:tcW w:w="9288" w:type="dxa"/>
          </w:tcPr>
          <w:p w:rsidR="005D2B94" w:rsidRPr="005D2B94" w:rsidRDefault="005D2B94" w:rsidP="005D2B94">
            <w:pPr>
              <w:rPr>
                <w:lang w:val="nb-NO"/>
              </w:rPr>
            </w:pPr>
            <w:r w:rsidRPr="005D2B94">
              <w:rPr>
                <w:lang w:val="nb-NO"/>
              </w:rPr>
              <w:t>Tilbakemeldinger fra våren 2013 ble ikke nødvendigvis tatt til følge da alle emner ble nye fra og med høsten 2013.</w:t>
            </w:r>
          </w:p>
          <w:p w:rsidR="005D2B94" w:rsidRPr="005D2B94" w:rsidRDefault="005D2B94" w:rsidP="005D2B94">
            <w:pPr>
              <w:rPr>
                <w:lang w:val="nb-NO"/>
              </w:rPr>
            </w:pPr>
          </w:p>
        </w:tc>
      </w:tr>
      <w:tr w:rsidR="005D2B94" w:rsidRPr="005D2B94" w:rsidTr="005D2B94">
        <w:tc>
          <w:tcPr>
            <w:tcW w:w="9288" w:type="dxa"/>
          </w:tcPr>
          <w:p w:rsidR="005D2B94" w:rsidRPr="005D2B94" w:rsidRDefault="005D2B94" w:rsidP="005D2B94">
            <w:pPr>
              <w:numPr>
                <w:ilvl w:val="0"/>
                <w:numId w:val="1"/>
              </w:numPr>
              <w:rPr>
                <w:lang w:val="nb-NO"/>
              </w:rPr>
            </w:pPr>
            <w:r w:rsidRPr="005D2B94">
              <w:rPr>
                <w:b/>
                <w:lang w:val="nb-NO"/>
              </w:rPr>
              <w:t>Bruk av tilsynssensor.</w:t>
            </w:r>
          </w:p>
        </w:tc>
      </w:tr>
      <w:tr w:rsidR="005D2B94" w:rsidRPr="003E6493" w:rsidTr="005D2B94">
        <w:tc>
          <w:tcPr>
            <w:tcW w:w="9288" w:type="dxa"/>
          </w:tcPr>
          <w:p w:rsidR="005D2B94" w:rsidRPr="005D2B94" w:rsidRDefault="005D2B94" w:rsidP="005D2B94">
            <w:pPr>
              <w:rPr>
                <w:lang w:val="nb-NO"/>
              </w:rPr>
            </w:pPr>
            <w:r w:rsidRPr="005D2B94">
              <w:rPr>
                <w:lang w:val="nb-NO"/>
              </w:rPr>
              <w:t>Tilsynssensorene har levert sine rapporter til avdelingsleder (høst 2013).</w:t>
            </w:r>
          </w:p>
          <w:p w:rsidR="005D2B94" w:rsidRPr="005D2B94" w:rsidRDefault="005D2B94" w:rsidP="005D2B94">
            <w:pPr>
              <w:rPr>
                <w:lang w:val="nb-NO"/>
              </w:rPr>
            </w:pPr>
          </w:p>
        </w:tc>
      </w:tr>
      <w:tr w:rsidR="005D2B94" w:rsidRPr="005D2B94" w:rsidTr="005D2B94">
        <w:tc>
          <w:tcPr>
            <w:tcW w:w="9288" w:type="dxa"/>
          </w:tcPr>
          <w:p w:rsidR="005D2B94" w:rsidRPr="005D2B94" w:rsidRDefault="005D2B94" w:rsidP="005D2B94">
            <w:pPr>
              <w:numPr>
                <w:ilvl w:val="0"/>
                <w:numId w:val="1"/>
              </w:numPr>
              <w:rPr>
                <w:lang w:val="nb-NO"/>
              </w:rPr>
            </w:pPr>
            <w:r w:rsidRPr="005D2B94">
              <w:rPr>
                <w:b/>
                <w:lang w:val="nb-NO"/>
              </w:rPr>
              <w:t xml:space="preserve">Læringsmiljø. </w:t>
            </w:r>
            <w:r w:rsidRPr="005D2B94">
              <w:rPr>
                <w:i/>
                <w:lang w:val="nb-NO"/>
              </w:rPr>
              <w:t>Fysisk og psykososialt. Klager, tiltak etc</w:t>
            </w:r>
          </w:p>
        </w:tc>
      </w:tr>
      <w:tr w:rsidR="005D2B94" w:rsidRPr="005D2B94" w:rsidTr="005D2B94">
        <w:tc>
          <w:tcPr>
            <w:tcW w:w="9288" w:type="dxa"/>
          </w:tcPr>
          <w:p w:rsidR="005D2B94" w:rsidRPr="005D2B94" w:rsidRDefault="005D2B94" w:rsidP="005D2B94">
            <w:pPr>
              <w:rPr>
                <w:lang w:val="nb-NO"/>
              </w:rPr>
            </w:pPr>
            <w:r w:rsidRPr="003E6493">
              <w:t xml:space="preserve">Studentmiljøet ved Avdelingen er svært aktivt. Avdelingen er svært opptatt av å støtte opp under dette- og budsjetterer for at studentene skal få mulighet til å ha et aktivt studentmiljø. </w:t>
            </w:r>
            <w:r w:rsidRPr="005D2B94">
              <w:rPr>
                <w:lang w:val="nb-NO"/>
              </w:rPr>
              <w:t>Det har vært noen tilbakemeldinger om at studentene trenger flere lesesalsplasser. Vi har løst dette på vårsemesteret ved at studentene kan bruke lesesalplasser i 2B.</w:t>
            </w:r>
          </w:p>
          <w:p w:rsidR="005D2B94" w:rsidRPr="005D2B94" w:rsidRDefault="005D2B94" w:rsidP="005D2B94">
            <w:pPr>
              <w:rPr>
                <w:lang w:val="nb-NO"/>
              </w:rPr>
            </w:pPr>
          </w:p>
        </w:tc>
      </w:tr>
      <w:tr w:rsidR="005D2B94" w:rsidRPr="003E6493" w:rsidTr="005D2B94">
        <w:tc>
          <w:tcPr>
            <w:tcW w:w="9288" w:type="dxa"/>
          </w:tcPr>
          <w:p w:rsidR="005D2B94" w:rsidRPr="005D2B94" w:rsidRDefault="005D2B94" w:rsidP="005D2B94">
            <w:pPr>
              <w:numPr>
                <w:ilvl w:val="0"/>
                <w:numId w:val="1"/>
              </w:numPr>
              <w:rPr>
                <w:lang w:val="nb-NO"/>
              </w:rPr>
            </w:pPr>
            <w:r w:rsidRPr="005D2B94">
              <w:rPr>
                <w:b/>
                <w:lang w:val="nb-NO"/>
              </w:rPr>
              <w:lastRenderedPageBreak/>
              <w:t xml:space="preserve">Antall studenter tatt opp (samt kjønnsfordeling) frafall og studieavbrudd. </w:t>
            </w:r>
            <w:r w:rsidRPr="005D2B94">
              <w:rPr>
                <w:b/>
                <w:i/>
                <w:lang w:val="nb-NO"/>
              </w:rPr>
              <w:t xml:space="preserve">Tilgjengelig statistikk finnes på:  </w:t>
            </w:r>
            <w:hyperlink r:id="rId8">
              <w:r w:rsidRPr="005D2B94">
                <w:rPr>
                  <w:rStyle w:val="Hyperlink"/>
                  <w:b/>
                  <w:i/>
                  <w:lang w:val="nb-NO"/>
                </w:rPr>
                <w:t>http://www.uio.no/for-ansatte/arbeidsstotte/sta/fs/statisti</w:t>
              </w:r>
            </w:hyperlink>
            <w:hyperlink>
              <w:r w:rsidRPr="005D2B94">
                <w:rPr>
                  <w:rStyle w:val="Hyperlink"/>
                  <w:b/>
                  <w:i/>
                  <w:lang w:val="nb-NO"/>
                </w:rPr>
                <w:t xml:space="preserve">kk/ </w:t>
              </w:r>
              <w:r w:rsidRPr="005D2B94">
                <w:rPr>
                  <w:rStyle w:val="Hyperlink"/>
                  <w:lang w:val="nb-NO"/>
                </w:rPr>
                <w:t xml:space="preserve">Det er først og fremst </w:t>
              </w:r>
              <w:r w:rsidRPr="005D2B94">
                <w:rPr>
                  <w:rStyle w:val="Hyperlink"/>
                  <w:b/>
                  <w:lang w:val="nb-NO"/>
                </w:rPr>
                <w:t xml:space="preserve">korrigeringer og kommentarer </w:t>
              </w:r>
              <w:r w:rsidRPr="005D2B94">
                <w:rPr>
                  <w:rStyle w:val="Hyperlink"/>
                  <w:lang w:val="nb-NO"/>
                </w:rPr>
                <w:t>som er interessante.</w:t>
              </w:r>
            </w:hyperlink>
          </w:p>
        </w:tc>
      </w:tr>
      <w:tr w:rsidR="005D2B94" w:rsidRPr="003E6493" w:rsidTr="005D2B94">
        <w:tc>
          <w:tcPr>
            <w:tcW w:w="9288" w:type="dxa"/>
          </w:tcPr>
          <w:p w:rsidR="005D2B94" w:rsidRPr="005D2B94" w:rsidRDefault="005D2B94" w:rsidP="005D2B94">
            <w:pPr>
              <w:rPr>
                <w:lang w:val="nb-NO"/>
              </w:rPr>
            </w:pPr>
            <w:r w:rsidRPr="005D2B94">
              <w:rPr>
                <w:lang w:val="nb-NO"/>
              </w:rPr>
              <w:t>Det var i 2013 flere søkere enn året før; totalt 842 søkere: 38 fikk tilbud og 30 møtte. Ettersom vi startet et nytt masterprogram (Eu-HEM) ønsket vi ikke å ta inn for mange studenter høsten 2013. Det er fremdeles mange søkere fra vår egen bachelorgrad, noe vi er fornøyde med.</w:t>
            </w:r>
          </w:p>
          <w:p w:rsidR="005D2B94" w:rsidRPr="005D2B94" w:rsidRDefault="005D2B94" w:rsidP="005D2B94">
            <w:pPr>
              <w:rPr>
                <w:lang w:val="nb-NO"/>
              </w:rPr>
            </w:pPr>
          </w:p>
        </w:tc>
      </w:tr>
      <w:tr w:rsidR="005D2B94" w:rsidRPr="005D2B94" w:rsidTr="005D2B94">
        <w:tc>
          <w:tcPr>
            <w:tcW w:w="9288" w:type="dxa"/>
          </w:tcPr>
          <w:p w:rsidR="005D2B94" w:rsidRPr="005D2B94" w:rsidRDefault="005D2B94" w:rsidP="005D2B94">
            <w:pPr>
              <w:numPr>
                <w:ilvl w:val="0"/>
                <w:numId w:val="1"/>
              </w:numPr>
              <w:rPr>
                <w:lang w:val="nb-NO"/>
              </w:rPr>
            </w:pPr>
            <w:r w:rsidRPr="005D2B94">
              <w:rPr>
                <w:b/>
                <w:lang w:val="nb-NO"/>
              </w:rPr>
              <w:t>Antall uteksaminerte, karakterer og stryk.</w:t>
            </w:r>
          </w:p>
          <w:p w:rsidR="005D2B94" w:rsidRPr="005D2B94" w:rsidRDefault="005D2B94" w:rsidP="005D2B94">
            <w:pPr>
              <w:rPr>
                <w:lang w:val="nb-NO"/>
              </w:rPr>
            </w:pPr>
            <w:r w:rsidRPr="005D2B94">
              <w:rPr>
                <w:b/>
                <w:i/>
                <w:lang w:val="nb-NO"/>
              </w:rPr>
              <w:t xml:space="preserve">Tilgjengelig statistikk finnes på:  </w:t>
            </w:r>
            <w:hyperlink r:id="rId9">
              <w:r w:rsidRPr="005D2B94">
                <w:rPr>
                  <w:rStyle w:val="Hyperlink"/>
                  <w:b/>
                  <w:i/>
                  <w:lang w:val="nb-NO"/>
                </w:rPr>
                <w:t>http://www.uio.no/for-ansatte/arbeidsstotte/sta/fs/statisti</w:t>
              </w:r>
            </w:hyperlink>
            <w:hyperlink>
              <w:r w:rsidRPr="005D2B94">
                <w:rPr>
                  <w:rStyle w:val="Hyperlink"/>
                  <w:b/>
                  <w:i/>
                  <w:lang w:val="nb-NO"/>
                </w:rPr>
                <w:t>kk/</w:t>
              </w:r>
            </w:hyperlink>
          </w:p>
          <w:p w:rsidR="005D2B94" w:rsidRPr="005D2B94" w:rsidRDefault="005D2B94" w:rsidP="005D2B94">
            <w:pPr>
              <w:rPr>
                <w:lang w:val="nb-NO"/>
              </w:rPr>
            </w:pPr>
            <w:r w:rsidRPr="005D2B94">
              <w:rPr>
                <w:lang w:val="nb-NO"/>
              </w:rPr>
              <w:t xml:space="preserve">Det er først og fremst </w:t>
            </w:r>
            <w:r w:rsidRPr="005D2B94">
              <w:rPr>
                <w:b/>
                <w:lang w:val="nb-NO"/>
              </w:rPr>
              <w:t xml:space="preserve">korrigeringer og kommentarer </w:t>
            </w:r>
            <w:r w:rsidRPr="005D2B94">
              <w:rPr>
                <w:lang w:val="nb-NO"/>
              </w:rPr>
              <w:t>som er interessante.</w:t>
            </w:r>
          </w:p>
        </w:tc>
      </w:tr>
      <w:tr w:rsidR="005D2B94" w:rsidRPr="003E6493" w:rsidTr="005D2B94">
        <w:tc>
          <w:tcPr>
            <w:tcW w:w="9288" w:type="dxa"/>
          </w:tcPr>
          <w:p w:rsidR="005D2B94" w:rsidRPr="005D2B94" w:rsidRDefault="005D2B94" w:rsidP="005D2B94">
            <w:pPr>
              <w:rPr>
                <w:lang w:val="nb-NO"/>
              </w:rPr>
            </w:pPr>
            <w:r w:rsidRPr="005D2B94">
              <w:rPr>
                <w:lang w:val="nb-NO"/>
              </w:rPr>
              <w:t>Det var 17 studenter, som ble uteksaminert i 2013. Dette er en liten nedgang fra i fjor.</w:t>
            </w:r>
          </w:p>
          <w:p w:rsidR="005D2B94" w:rsidRPr="005D2B94" w:rsidRDefault="005D2B94" w:rsidP="005D2B94">
            <w:pPr>
              <w:rPr>
                <w:lang w:val="nb-NO"/>
              </w:rPr>
            </w:pPr>
          </w:p>
        </w:tc>
      </w:tr>
      <w:tr w:rsidR="005D2B94" w:rsidRPr="005D2B94" w:rsidTr="005D2B94">
        <w:tc>
          <w:tcPr>
            <w:tcW w:w="9288" w:type="dxa"/>
          </w:tcPr>
          <w:p w:rsidR="005D2B94" w:rsidRPr="005D2B94" w:rsidRDefault="005D2B94" w:rsidP="005D2B94">
            <w:pPr>
              <w:numPr>
                <w:ilvl w:val="0"/>
                <w:numId w:val="1"/>
              </w:numPr>
              <w:rPr>
                <w:lang w:val="nb-NO"/>
              </w:rPr>
            </w:pPr>
            <w:r w:rsidRPr="005D2B94">
              <w:rPr>
                <w:b/>
                <w:lang w:val="nb-NO"/>
              </w:rPr>
              <w:t xml:space="preserve">Rekruttering. </w:t>
            </w:r>
            <w:r w:rsidRPr="005D2B94">
              <w:rPr>
                <w:i/>
                <w:lang w:val="nb-NO"/>
              </w:rPr>
              <w:t>Tiltak for å få søkere til programmet.</w:t>
            </w:r>
          </w:p>
        </w:tc>
      </w:tr>
      <w:tr w:rsidR="005D2B94" w:rsidRPr="005D2B94" w:rsidTr="005D2B94">
        <w:tc>
          <w:tcPr>
            <w:tcW w:w="9288" w:type="dxa"/>
          </w:tcPr>
          <w:p w:rsidR="005D2B94" w:rsidRPr="005D2B94" w:rsidRDefault="005D2B94" w:rsidP="005D2B94">
            <w:pPr>
              <w:rPr>
                <w:lang w:val="nb-NO"/>
              </w:rPr>
            </w:pPr>
            <w:r w:rsidRPr="005D2B94">
              <w:rPr>
                <w:lang w:val="nb-NO"/>
              </w:rPr>
              <w:t>Annonsering i studentavisene ved universiteter i Norge.</w:t>
            </w:r>
          </w:p>
          <w:p w:rsidR="005D2B94" w:rsidRPr="005D2B94" w:rsidRDefault="005D2B94" w:rsidP="005D2B94">
            <w:pPr>
              <w:rPr>
                <w:lang w:val="nb-NO"/>
              </w:rPr>
            </w:pPr>
          </w:p>
        </w:tc>
      </w:tr>
      <w:tr w:rsidR="005D2B94" w:rsidRPr="003E6493" w:rsidTr="005D2B94">
        <w:tc>
          <w:tcPr>
            <w:tcW w:w="9288" w:type="dxa"/>
          </w:tcPr>
          <w:p w:rsidR="005D2B94" w:rsidRPr="005D2B94" w:rsidRDefault="005D2B94" w:rsidP="005D2B94">
            <w:pPr>
              <w:numPr>
                <w:ilvl w:val="0"/>
                <w:numId w:val="1"/>
              </w:numPr>
              <w:rPr>
                <w:lang w:val="nb-NO"/>
              </w:rPr>
            </w:pPr>
            <w:r w:rsidRPr="005D2B94">
              <w:rPr>
                <w:b/>
                <w:lang w:val="nb-NO"/>
              </w:rPr>
              <w:t xml:space="preserve">Internasjonalisering. </w:t>
            </w:r>
            <w:r w:rsidRPr="005D2B94">
              <w:rPr>
                <w:i/>
                <w:lang w:val="nb-NO"/>
              </w:rPr>
              <w:t>Mulighet for utreisende og innreisende.</w:t>
            </w:r>
          </w:p>
        </w:tc>
      </w:tr>
      <w:tr w:rsidR="005D2B94" w:rsidRPr="003E6493" w:rsidTr="005D2B94">
        <w:tc>
          <w:tcPr>
            <w:tcW w:w="9288" w:type="dxa"/>
          </w:tcPr>
          <w:p w:rsidR="005D2B94" w:rsidRPr="005D2B94" w:rsidRDefault="005D2B94" w:rsidP="005D2B94">
            <w:pPr>
              <w:rPr>
                <w:lang w:val="nb-NO"/>
              </w:rPr>
            </w:pPr>
            <w:r w:rsidRPr="005D2B94">
              <w:rPr>
                <w:lang w:val="nb-NO"/>
              </w:rPr>
              <w:t>Innsbruck, København (kun inn), Bologna, Berlin og Rotterdam. Våren 2014 vil være det siste semesteret for HEPMA-studenter til å reise til universitetene Innsbruck, Bologna og Rotterdam. Fra og med høsten 2014 vil disse utvekslingsavtalene være forbeholdt Eu-HEM. Det har derfor vært stor aktivitet for å få på plass andre avtaler. Høsten 2013 ble en avtale med Oxford Brookes University signert og de første studentene vil reise dit høsten 2014. Det er også forventet at vi fra og med høsten 2015 vil ha avtaler på plass med København Universitet, universitet i Buenos Aires og muligens også University of Minnesota.</w:t>
            </w:r>
          </w:p>
        </w:tc>
      </w:tr>
    </w:tbl>
    <w:p w:rsidR="005D2B94" w:rsidRPr="003E6493" w:rsidRDefault="005D2B94">
      <w:pPr>
        <w:spacing w:after="200" w:line="276" w:lineRule="auto"/>
        <w:rPr>
          <w:lang w:val="nb-NO"/>
        </w:rPr>
      </w:pPr>
    </w:p>
    <w:p w:rsidR="005D2B94" w:rsidRPr="003E6493" w:rsidRDefault="005D2B94">
      <w:pPr>
        <w:rPr>
          <w:lang w:val="nb-NO"/>
        </w:rPr>
      </w:pPr>
    </w:p>
    <w:p w:rsidR="005D2B94" w:rsidRPr="003E6493" w:rsidRDefault="005D2B94">
      <w:pPr>
        <w:rPr>
          <w:lang w:val="nb-NO"/>
        </w:rPr>
      </w:pPr>
    </w:p>
    <w:p w:rsidR="005D2B94" w:rsidRPr="005D2B94" w:rsidRDefault="005D2B94">
      <w:pPr>
        <w:rPr>
          <w:lang w:val="nb-NO"/>
        </w:rPr>
      </w:pPr>
    </w:p>
    <w:sectPr w:rsidR="005D2B94" w:rsidRPr="005D2B94" w:rsidSect="005D2B94">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0A" w:rsidRDefault="0014600A" w:rsidP="005D2B94">
      <w:r>
        <w:separator/>
      </w:r>
    </w:p>
  </w:endnote>
  <w:endnote w:type="continuationSeparator" w:id="0">
    <w:p w:rsidR="0014600A" w:rsidRDefault="0014600A" w:rsidP="005D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0A" w:rsidRDefault="0014600A" w:rsidP="005D2B94">
      <w:r>
        <w:separator/>
      </w:r>
    </w:p>
  </w:footnote>
  <w:footnote w:type="continuationSeparator" w:id="0">
    <w:p w:rsidR="0014600A" w:rsidRDefault="0014600A" w:rsidP="005D2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6DBA"/>
    <w:multiLevelType w:val="multilevel"/>
    <w:tmpl w:val="B40A9C3C"/>
    <w:lvl w:ilvl="0">
      <w:start w:val="1"/>
      <w:numFmt w:val="decimal"/>
      <w:lvlText w:val="%1."/>
      <w:lvlJc w:val="left"/>
      <w:pPr>
        <w:ind w:left="720" w:hanging="360"/>
      </w:pPr>
      <w:rPr>
        <w:rFonts w:hint="default"/>
        <w:b/>
      </w:rPr>
    </w:lvl>
    <w:lvl w:ilvl="1">
      <w:start w:val="1"/>
      <w:numFmt w:val="decimal"/>
      <w:isLgl/>
      <w:lvlText w:val="%1.%2."/>
      <w:lvlJc w:val="left"/>
      <w:pPr>
        <w:ind w:left="1440" w:hanging="108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94"/>
    <w:rsid w:val="0014600A"/>
    <w:rsid w:val="003E6493"/>
    <w:rsid w:val="004E32FF"/>
    <w:rsid w:val="005A3842"/>
    <w:rsid w:val="005D2B94"/>
    <w:rsid w:val="007E7D31"/>
    <w:rsid w:val="007F3846"/>
    <w:rsid w:val="0091254D"/>
    <w:rsid w:val="00FC09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94"/>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B9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B94"/>
    <w:rPr>
      <w:color w:val="0000FF" w:themeColor="hyperlink"/>
      <w:u w:val="single"/>
    </w:rPr>
  </w:style>
  <w:style w:type="paragraph" w:styleId="Header">
    <w:name w:val="header"/>
    <w:basedOn w:val="Normal"/>
    <w:link w:val="HeaderChar"/>
    <w:uiPriority w:val="99"/>
    <w:unhideWhenUsed/>
    <w:rsid w:val="005D2B94"/>
    <w:pPr>
      <w:tabs>
        <w:tab w:val="center" w:pos="4536"/>
        <w:tab w:val="right" w:pos="9072"/>
      </w:tabs>
    </w:pPr>
  </w:style>
  <w:style w:type="character" w:customStyle="1" w:styleId="HeaderChar">
    <w:name w:val="Header Char"/>
    <w:basedOn w:val="DefaultParagraphFont"/>
    <w:link w:val="Header"/>
    <w:uiPriority w:val="99"/>
    <w:rsid w:val="005D2B94"/>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5D2B94"/>
    <w:pPr>
      <w:tabs>
        <w:tab w:val="center" w:pos="4536"/>
        <w:tab w:val="right" w:pos="9072"/>
      </w:tabs>
    </w:pPr>
  </w:style>
  <w:style w:type="character" w:customStyle="1" w:styleId="FooterChar">
    <w:name w:val="Footer Char"/>
    <w:basedOn w:val="DefaultParagraphFont"/>
    <w:link w:val="Footer"/>
    <w:uiPriority w:val="99"/>
    <w:rsid w:val="005D2B94"/>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94"/>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B9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B94"/>
    <w:rPr>
      <w:color w:val="0000FF" w:themeColor="hyperlink"/>
      <w:u w:val="single"/>
    </w:rPr>
  </w:style>
  <w:style w:type="paragraph" w:styleId="Header">
    <w:name w:val="header"/>
    <w:basedOn w:val="Normal"/>
    <w:link w:val="HeaderChar"/>
    <w:uiPriority w:val="99"/>
    <w:unhideWhenUsed/>
    <w:rsid w:val="005D2B94"/>
    <w:pPr>
      <w:tabs>
        <w:tab w:val="center" w:pos="4536"/>
        <w:tab w:val="right" w:pos="9072"/>
      </w:tabs>
    </w:pPr>
  </w:style>
  <w:style w:type="character" w:customStyle="1" w:styleId="HeaderChar">
    <w:name w:val="Header Char"/>
    <w:basedOn w:val="DefaultParagraphFont"/>
    <w:link w:val="Header"/>
    <w:uiPriority w:val="99"/>
    <w:rsid w:val="005D2B94"/>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5D2B94"/>
    <w:pPr>
      <w:tabs>
        <w:tab w:val="center" w:pos="4536"/>
        <w:tab w:val="right" w:pos="9072"/>
      </w:tabs>
    </w:pPr>
  </w:style>
  <w:style w:type="character" w:customStyle="1" w:styleId="FooterChar">
    <w:name w:val="Footer Char"/>
    <w:basedOn w:val="DefaultParagraphFont"/>
    <w:link w:val="Footer"/>
    <w:uiPriority w:val="99"/>
    <w:rsid w:val="005D2B94"/>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fs/statistik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o.no/for-ansatte/arbeidsstotte/sta/fs/statisti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5E61609C.dotm</Template>
  <TotalTime>0</TotalTime>
  <Pages>2</Pages>
  <Words>994</Words>
  <Characters>5271</Characters>
  <Application>Microsoft Office Word</Application>
  <DocSecurity>4</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Bjørdal Roald</dc:creator>
  <cp:lastModifiedBy>Karen Oldervik Golmen</cp:lastModifiedBy>
  <cp:revision>2</cp:revision>
  <dcterms:created xsi:type="dcterms:W3CDTF">2015-05-26T07:43:00Z</dcterms:created>
  <dcterms:modified xsi:type="dcterms:W3CDTF">2015-05-26T07:43:00Z</dcterms:modified>
</cp:coreProperties>
</file>