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3FD" w:rsidRDefault="008263FD" w:rsidP="008263FD">
      <w:pPr>
        <w:pStyle w:val="Title"/>
        <w:rPr>
          <w:color w:val="auto"/>
          <w:sz w:val="30"/>
          <w:szCs w:val="30"/>
        </w:rPr>
      </w:pPr>
      <w:r>
        <w:rPr>
          <w:color w:val="auto"/>
          <w:sz w:val="30"/>
          <w:szCs w:val="30"/>
        </w:rPr>
        <w:t>F</w:t>
      </w:r>
      <w:r w:rsidR="00713AC6">
        <w:rPr>
          <w:color w:val="auto"/>
          <w:sz w:val="30"/>
          <w:szCs w:val="30"/>
        </w:rPr>
        <w:t xml:space="preserve">orskning </w:t>
      </w:r>
      <w:r>
        <w:rPr>
          <w:color w:val="auto"/>
          <w:sz w:val="30"/>
          <w:szCs w:val="30"/>
        </w:rPr>
        <w:t xml:space="preserve">ved UiO </w:t>
      </w:r>
      <w:r w:rsidR="00713AC6">
        <w:rPr>
          <w:color w:val="auto"/>
          <w:sz w:val="30"/>
          <w:szCs w:val="30"/>
        </w:rPr>
        <w:t>etter nytt personvernregelverk</w:t>
      </w:r>
    </w:p>
    <w:p w:rsidR="008263FD" w:rsidRDefault="008263FD" w:rsidP="001811DB">
      <w:pPr>
        <w:pStyle w:val="BodyText"/>
        <w:spacing w:line="276" w:lineRule="auto"/>
      </w:pPr>
      <w:r>
        <w:t xml:space="preserve">GDPR-prosjektet ved </w:t>
      </w:r>
      <w:r w:rsidR="00F831A0">
        <w:t>UiO</w:t>
      </w:r>
      <w:r>
        <w:t xml:space="preserve"> har som mandat å redegjøre for konsekvensene innføringen av personvernforordningen har for behandlingen av personopplysninger ved UiO, samt å sikre at det implementeres nødvendige rutiner som imøtekommer regelverket. </w:t>
      </w:r>
    </w:p>
    <w:p w:rsidR="008263FD" w:rsidRDefault="00BA21FA" w:rsidP="001811DB">
      <w:pPr>
        <w:pStyle w:val="BodyText"/>
        <w:spacing w:line="276" w:lineRule="auto"/>
      </w:pPr>
      <w:r>
        <w:t xml:space="preserve">Prosjektet har fått </w:t>
      </w:r>
      <w:r w:rsidR="008263FD">
        <w:t>mange spørsmål om konsekvensene for forskningen ved UiO</w:t>
      </w:r>
      <w:r w:rsidR="00F831A0">
        <w:t xml:space="preserve"> og ønsker med dette å informere om hvilke konsekvenser det nye regelverket får for forskning på personopplysninger ved UiO</w:t>
      </w:r>
      <w:r w:rsidR="008263FD">
        <w:t>.</w:t>
      </w:r>
    </w:p>
    <w:p w:rsidR="008263FD" w:rsidRDefault="008263FD" w:rsidP="001811DB">
      <w:pPr>
        <w:pStyle w:val="BodyText"/>
        <w:spacing w:line="276" w:lineRule="auto"/>
      </w:pPr>
      <w:r>
        <w:t xml:space="preserve">Mange har </w:t>
      </w:r>
      <w:r w:rsidR="00B27A87">
        <w:t>sikkert</w:t>
      </w:r>
      <w:r>
        <w:t xml:space="preserve"> hørt at NSD og REK sine roller endres, og</w:t>
      </w:r>
      <w:r w:rsidR="00B27A87">
        <w:t xml:space="preserve"> at det kommende regelverket er strengere enn dagens. Prosje</w:t>
      </w:r>
      <w:r w:rsidR="00F831A0">
        <w:t>ktgruppen jobber for at de større</w:t>
      </w:r>
      <w:r w:rsidR="00B27A87">
        <w:t xml:space="preserve"> endringene skjer overordnet, og at det i praksis påvirker de eksisterende prosedyrene til våre forskere og forskningsrådgivere</w:t>
      </w:r>
      <w:r w:rsidR="00BA21FA">
        <w:t xml:space="preserve"> minimalt</w:t>
      </w:r>
      <w:r w:rsidR="00B27A87">
        <w:t xml:space="preserve">. I hovedsak vil fremdeles all forskning som innebærer bruk av personopplysninger om andre </w:t>
      </w:r>
      <w:r w:rsidR="00BA21FA">
        <w:t xml:space="preserve">måtte meldes til REK eller NSD </w:t>
      </w:r>
      <w:r w:rsidR="00B27A87">
        <w:t xml:space="preserve">og vurderes av dem. </w:t>
      </w:r>
      <w:r w:rsidR="001811DB">
        <w:t>Det jobbes med et overordnet kvalitetssystem for forskning samt et sentralt register over all forskning på universitetet for at administrasjonen av forskningen skal bli enklere og mer oversiktlig.</w:t>
      </w:r>
    </w:p>
    <w:p w:rsidR="001B3CDF" w:rsidRDefault="001B3CDF" w:rsidP="001B3CDF">
      <w:pPr>
        <w:pStyle w:val="BodyText"/>
        <w:pBdr>
          <w:bottom w:val="single" w:sz="6" w:space="1" w:color="auto"/>
        </w:pBdr>
        <w:spacing w:line="276" w:lineRule="auto"/>
      </w:pPr>
      <w:r>
        <w:t>Under følger en utdypning om de overordnende konsekvensene personvernforordningen har for forskningen.</w:t>
      </w:r>
    </w:p>
    <w:p w:rsidR="00F831A0" w:rsidRDefault="00F831A0" w:rsidP="001B3CDF">
      <w:pPr>
        <w:pStyle w:val="BodyText"/>
        <w:pBdr>
          <w:bottom w:val="single" w:sz="6" w:space="1" w:color="auto"/>
        </w:pBdr>
        <w:spacing w:line="276" w:lineRule="auto"/>
      </w:pPr>
      <w:r>
        <w:t>UiOs personvernsider oppdateres fortløpende og vil være helt oppdaterte etter nytt personvernregelverk i løpet av sommeren 2018</w:t>
      </w:r>
      <w:bookmarkStart w:id="0" w:name="_GoBack"/>
      <w:bookmarkEnd w:id="0"/>
      <w:r>
        <w:t xml:space="preserve">: </w:t>
      </w:r>
      <w:r w:rsidRPr="00F831A0">
        <w:t>http://www.uio.no/for-ansatte/arbeidsstotte/personvern/</w:t>
      </w:r>
    </w:p>
    <w:p w:rsidR="001B3CDF" w:rsidRDefault="001B3CDF" w:rsidP="001B3CDF">
      <w:pPr>
        <w:pStyle w:val="BodyText"/>
        <w:pBdr>
          <w:bottom w:val="single" w:sz="6" w:space="1" w:color="auto"/>
        </w:pBdr>
        <w:spacing w:line="240" w:lineRule="auto"/>
      </w:pPr>
      <w:r>
        <w:t xml:space="preserve">Vennlig hilsen </w:t>
      </w:r>
    </w:p>
    <w:p w:rsidR="001B3CDF" w:rsidRDefault="001B3CDF" w:rsidP="001B3CDF">
      <w:pPr>
        <w:pStyle w:val="BodyText"/>
        <w:pBdr>
          <w:bottom w:val="single" w:sz="6" w:space="1" w:color="auto"/>
        </w:pBdr>
        <w:spacing w:line="360" w:lineRule="auto"/>
      </w:pPr>
      <w:r>
        <w:t>GDRP-prosjekt</w:t>
      </w:r>
      <w:r w:rsidR="00BA21FA">
        <w:t>et</w:t>
      </w:r>
    </w:p>
    <w:p w:rsidR="001B3CDF" w:rsidRDefault="00FE3D51" w:rsidP="001B3CDF">
      <w:pPr>
        <w:pStyle w:val="BodyText"/>
        <w:spacing w:line="240" w:lineRule="auto"/>
        <w:rPr>
          <w:b/>
        </w:rPr>
      </w:pPr>
      <w:r w:rsidRPr="001B3CDF">
        <w:rPr>
          <w:rFonts w:ascii="Tahoma" w:hAnsi="Tahoma" w:cs="Tahoma"/>
          <w:b/>
        </w:rPr>
        <w:t>Forhåndsgodkjennelser gitt av Datatilsynet, REK og NSD etter gammelt regelverk</w:t>
      </w:r>
      <w:r w:rsidR="00356D98" w:rsidRPr="001B3CDF">
        <w:rPr>
          <w:rFonts w:ascii="Tahoma" w:hAnsi="Tahoma" w:cs="Tahoma"/>
          <w:b/>
        </w:rPr>
        <w:br/>
      </w:r>
      <w:r w:rsidRPr="001B3CDF">
        <w:t xml:space="preserve">Nytt regelverk endrer den personvernrettslige betydningen av de forhåndsgodkjennelser Universitetet i Oslo (UiO) til nå har fått av Datatilsynet, NSD og REK. Dette vil potensielt kunne ha store konsekvenser for våre forskningsprosjekter. For å møte denne utfordringen vedtar UiO at gitte forhåndsgodkjennelser videreføres slik de står, da dette gir et bedre personvern for våre </w:t>
      </w:r>
      <w:proofErr w:type="spellStart"/>
      <w:r w:rsidRPr="001B3CDF">
        <w:t>forskningssubjekter</w:t>
      </w:r>
      <w:proofErr w:type="spellEnd"/>
      <w:r w:rsidRPr="001B3CDF">
        <w:t>, studenter og ansatte, enn at forskning og administrasj</w:t>
      </w:r>
      <w:r w:rsidR="00B27A87" w:rsidRPr="001B3CDF">
        <w:t>on ved universitetet stopper opp</w:t>
      </w:r>
      <w:r w:rsidRPr="001B3CDF">
        <w:t>.</w:t>
      </w:r>
      <w:r w:rsidRPr="00356D98">
        <w:rPr>
          <w:b/>
        </w:rPr>
        <w:t xml:space="preserve"> </w:t>
      </w:r>
    </w:p>
    <w:p w:rsidR="001B3CDF" w:rsidRPr="001B3CDF" w:rsidRDefault="00FE3D51" w:rsidP="001B3CDF">
      <w:pPr>
        <w:pStyle w:val="BodyText"/>
        <w:spacing w:line="240" w:lineRule="auto"/>
      </w:pPr>
      <w:r w:rsidRPr="001B3CDF">
        <w:rPr>
          <w:rFonts w:ascii="Tahoma" w:hAnsi="Tahoma" w:cs="Tahoma"/>
          <w:b/>
        </w:rPr>
        <w:t>Krav om ett personver</w:t>
      </w:r>
      <w:r w:rsidR="00FA3FF1" w:rsidRPr="001B3CDF">
        <w:rPr>
          <w:rFonts w:ascii="Tahoma" w:hAnsi="Tahoma" w:cs="Tahoma"/>
          <w:b/>
        </w:rPr>
        <w:t>n</w:t>
      </w:r>
      <w:r w:rsidRPr="001B3CDF">
        <w:rPr>
          <w:rFonts w:ascii="Tahoma" w:hAnsi="Tahoma" w:cs="Tahoma"/>
          <w:b/>
        </w:rPr>
        <w:t>ombud</w:t>
      </w:r>
      <w:r w:rsidR="00356D98" w:rsidRPr="001B3CDF">
        <w:rPr>
          <w:rFonts w:ascii="Tahoma" w:hAnsi="Tahoma" w:cs="Tahoma"/>
          <w:b/>
        </w:rPr>
        <w:br/>
      </w:r>
      <w:r w:rsidRPr="001B3CDF">
        <w:t xml:space="preserve">Datatilsyn i Norge og Europa har tolket personvernforordningen slik at den stiller krav om at en virksomhet kun kan ha ett overordnet personvernombud </w:t>
      </w:r>
      <w:r w:rsidR="00035E8F" w:rsidRPr="001B3CDF">
        <w:t xml:space="preserve">som </w:t>
      </w:r>
      <w:r w:rsidRPr="001B3CDF">
        <w:t xml:space="preserve">har oversikt over all behandling av personopplysninger i virksomheten. UiO har til nå hatt et internt personvernombud for administrative behandlinger, og et personvernombud for forskning på personopplysninger, NSD. Disse to rollene vil nå fusjoneres i ett personvernombud sentralt på UiO. </w:t>
      </w:r>
    </w:p>
    <w:p w:rsidR="00356D98" w:rsidRPr="001B3CDF" w:rsidRDefault="00FE3D51" w:rsidP="001B3CDF">
      <w:pPr>
        <w:pStyle w:val="BodyText"/>
        <w:spacing w:line="240" w:lineRule="auto"/>
      </w:pPr>
      <w:r w:rsidRPr="001B3CDF">
        <w:rPr>
          <w:rFonts w:ascii="Tahoma" w:hAnsi="Tahoma" w:cs="Tahoma"/>
          <w:b/>
        </w:rPr>
        <w:t xml:space="preserve">NSD og REK vil fortsette å vurdere forskningsprosjekter </w:t>
      </w:r>
      <w:r w:rsidR="00356D98" w:rsidRPr="00356D98">
        <w:br/>
      </w:r>
      <w:r w:rsidRPr="001B3CDF">
        <w:t xml:space="preserve">Personvernforordningen legger ansvaret for godkjenning og vurdering av forskning etter personopplysningsregelverket til UiO selv. Tidligere ble forskningsprosjekter forhåndsgodkjent av </w:t>
      </w:r>
      <w:r w:rsidRPr="001B3CDF">
        <w:lastRenderedPageBreak/>
        <w:t xml:space="preserve">Datatilsynet, Regionale etiske komiteer (REK) og Norsk senter for forskningsdata </w:t>
      </w:r>
      <w:r w:rsidR="000726D0" w:rsidRPr="001B3CDF">
        <w:t>(NSD). For å løse dette ønsker</w:t>
      </w:r>
      <w:r w:rsidRPr="001B3CDF">
        <w:t xml:space="preserve"> UiO </w:t>
      </w:r>
      <w:r w:rsidR="000726D0" w:rsidRPr="001B3CDF">
        <w:t xml:space="preserve">å </w:t>
      </w:r>
      <w:r w:rsidRPr="001B3CDF">
        <w:t xml:space="preserve">inngå avtaler med REK og NSD om at de vurderer alle prosjekter på tilnærmet lik linje som tidligere, men at de kommer med en anbefaling som UiO legger til grunn som en avgjørelse. Den eneste forskjellen fra tidligere vil være at den formelle godkjennelsen gjøres av UiO, mens den i realiteten fortsatt skjer hos NSD og REK.  Ved utfordrende vurderinger vil UiO uansett måtte kontaktes ved behandlingsansvarlig og/eller personvernombudet. </w:t>
      </w:r>
    </w:p>
    <w:p w:rsidR="00356D98" w:rsidRDefault="00356D98" w:rsidP="001B3CDF">
      <w:pPr>
        <w:pStyle w:val="Heading2"/>
        <w:spacing w:line="240" w:lineRule="auto"/>
        <w:rPr>
          <w:rFonts w:ascii="Georgia" w:hAnsi="Georgia"/>
          <w:b w:val="0"/>
          <w:color w:val="auto"/>
          <w:sz w:val="22"/>
        </w:rPr>
      </w:pPr>
      <w:r>
        <w:rPr>
          <w:rFonts w:ascii="Georgia" w:hAnsi="Georgia"/>
          <w:b w:val="0"/>
          <w:color w:val="auto"/>
          <w:sz w:val="22"/>
          <w:lang w:val="nb-NO"/>
        </w:rPr>
        <w:t>Fordi</w:t>
      </w:r>
      <w:r w:rsidR="00FE3D51" w:rsidRPr="00356D98">
        <w:rPr>
          <w:rFonts w:ascii="Georgia" w:hAnsi="Georgia"/>
          <w:b w:val="0"/>
          <w:color w:val="auto"/>
          <w:sz w:val="22"/>
        </w:rPr>
        <w:t xml:space="preserve"> NSD ikke lenger kan ha den offisielle rollen som personvernombud, vil det omdøpes til å være en leverandør av personverntjenester. Forskere vil fremdeles måtte melde og få sine prosjekter vurdert av NSD. For medisinsk og helsefaglig forskning </w:t>
      </w:r>
      <w:r w:rsidR="000726D0" w:rsidRPr="00356D98">
        <w:rPr>
          <w:rFonts w:ascii="Georgia" w:hAnsi="Georgia"/>
          <w:b w:val="0"/>
          <w:color w:val="auto"/>
          <w:sz w:val="22"/>
        </w:rPr>
        <w:t>forsøker vi å legge til rette for at</w:t>
      </w:r>
      <w:r w:rsidR="00FE3D51" w:rsidRPr="00356D98">
        <w:rPr>
          <w:rFonts w:ascii="Georgia" w:hAnsi="Georgia"/>
          <w:b w:val="0"/>
          <w:color w:val="auto"/>
          <w:sz w:val="22"/>
        </w:rPr>
        <w:t xml:space="preserve"> prosedyrene for våre forskere også forbli</w:t>
      </w:r>
      <w:r w:rsidR="000726D0" w:rsidRPr="00356D98">
        <w:rPr>
          <w:rFonts w:ascii="Georgia" w:hAnsi="Georgia"/>
          <w:b w:val="0"/>
          <w:color w:val="auto"/>
          <w:sz w:val="22"/>
        </w:rPr>
        <w:t>r</w:t>
      </w:r>
      <w:r w:rsidR="00FE3D51" w:rsidRPr="00356D98">
        <w:rPr>
          <w:rFonts w:ascii="Georgia" w:hAnsi="Georgia"/>
          <w:b w:val="0"/>
          <w:color w:val="auto"/>
          <w:sz w:val="22"/>
        </w:rPr>
        <w:t xml:space="preserve"> de samme. </w:t>
      </w:r>
      <w:r w:rsidR="000726D0" w:rsidRPr="00356D98">
        <w:rPr>
          <w:rFonts w:ascii="Georgia" w:hAnsi="Georgia"/>
          <w:b w:val="0"/>
          <w:color w:val="auto"/>
          <w:sz w:val="22"/>
        </w:rPr>
        <w:t xml:space="preserve">Vi er i en i prosess med REK for at slike prosjekter </w:t>
      </w:r>
      <w:r w:rsidR="00FE3D51" w:rsidRPr="00356D98">
        <w:rPr>
          <w:rFonts w:ascii="Georgia" w:hAnsi="Georgia"/>
          <w:b w:val="0"/>
          <w:color w:val="auto"/>
          <w:sz w:val="22"/>
        </w:rPr>
        <w:t xml:space="preserve">på lik linje som før meldes til og vurderes av REK. </w:t>
      </w:r>
    </w:p>
    <w:p w:rsidR="00FE3D51" w:rsidRPr="00356D98" w:rsidRDefault="00FE3D51" w:rsidP="00356D98">
      <w:pPr>
        <w:pStyle w:val="Heading2"/>
        <w:spacing w:line="240" w:lineRule="auto"/>
        <w:rPr>
          <w:rFonts w:ascii="Georgia" w:hAnsi="Georgia"/>
          <w:b w:val="0"/>
          <w:sz w:val="22"/>
          <w:lang w:val="nb-NO"/>
        </w:rPr>
      </w:pPr>
      <w:r w:rsidRPr="00356D98">
        <w:rPr>
          <w:rFonts w:cs="Tahoma"/>
          <w:sz w:val="22"/>
        </w:rPr>
        <w:t>Overordnet kvalitetssystem for forskning</w:t>
      </w:r>
      <w:r w:rsidR="00C85DD1" w:rsidRPr="00356D98">
        <w:rPr>
          <w:rFonts w:cs="Tahoma"/>
          <w:sz w:val="22"/>
          <w:lang w:val="nb-NO"/>
        </w:rPr>
        <w:t xml:space="preserve">  </w:t>
      </w:r>
      <w:r w:rsidR="00356D98" w:rsidRPr="00356D98">
        <w:rPr>
          <w:sz w:val="22"/>
          <w:lang w:val="nb-NO"/>
        </w:rPr>
        <w:br/>
      </w:r>
      <w:r w:rsidRPr="00356D98">
        <w:rPr>
          <w:rFonts w:ascii="Georgia" w:hAnsi="Georgia"/>
          <w:b w:val="0"/>
          <w:sz w:val="22"/>
        </w:rPr>
        <w:t xml:space="preserve">For behandling av personopplysninger i forskning i dag har UiO </w:t>
      </w:r>
      <w:r w:rsidR="000726D0" w:rsidRPr="00356D98">
        <w:rPr>
          <w:rFonts w:ascii="Georgia" w:hAnsi="Georgia"/>
          <w:b w:val="0"/>
          <w:sz w:val="22"/>
        </w:rPr>
        <w:t>et internt Kvalitetssystem</w:t>
      </w:r>
      <w:r w:rsidRPr="00356D98">
        <w:rPr>
          <w:rFonts w:ascii="Georgia" w:hAnsi="Georgia"/>
          <w:b w:val="0"/>
          <w:sz w:val="22"/>
        </w:rPr>
        <w:t xml:space="preserve"> for medisinsk og helsefaglig forskning, mens det for behandling av personopplysninger i annen forskning</w:t>
      </w:r>
      <w:r w:rsidR="000726D0" w:rsidRPr="00356D98">
        <w:rPr>
          <w:rFonts w:ascii="Georgia" w:hAnsi="Georgia"/>
          <w:b w:val="0"/>
          <w:sz w:val="22"/>
        </w:rPr>
        <w:t xml:space="preserve"> ikke foreligger et slikt kvalitetssystem. </w:t>
      </w:r>
      <w:r w:rsidRPr="00356D98">
        <w:rPr>
          <w:rFonts w:ascii="Georgia" w:hAnsi="Georgia"/>
          <w:b w:val="0"/>
          <w:sz w:val="22"/>
        </w:rPr>
        <w:t xml:space="preserve">For at </w:t>
      </w:r>
      <w:r w:rsidR="00ED26DD" w:rsidRPr="00356D98">
        <w:rPr>
          <w:rFonts w:ascii="Georgia" w:hAnsi="Georgia"/>
          <w:b w:val="0"/>
          <w:sz w:val="22"/>
        </w:rPr>
        <w:t>UiO</w:t>
      </w:r>
      <w:r w:rsidR="000726D0" w:rsidRPr="00356D98">
        <w:rPr>
          <w:rFonts w:ascii="Georgia" w:hAnsi="Georgia"/>
          <w:b w:val="0"/>
          <w:sz w:val="22"/>
        </w:rPr>
        <w:t xml:space="preserve"> skal ha</w:t>
      </w:r>
      <w:r w:rsidRPr="00356D98">
        <w:rPr>
          <w:rFonts w:ascii="Georgia" w:hAnsi="Georgia"/>
          <w:b w:val="0"/>
          <w:sz w:val="22"/>
        </w:rPr>
        <w:t xml:space="preserve"> bedre og overordnede rutiner for all forskning, </w:t>
      </w:r>
      <w:r w:rsidR="000726D0" w:rsidRPr="00356D98">
        <w:rPr>
          <w:rFonts w:ascii="Georgia" w:hAnsi="Georgia"/>
          <w:b w:val="0"/>
          <w:sz w:val="22"/>
        </w:rPr>
        <w:t xml:space="preserve">jobbes det med å utvide </w:t>
      </w:r>
      <w:r w:rsidRPr="00356D98">
        <w:rPr>
          <w:rFonts w:ascii="Georgia" w:hAnsi="Georgia"/>
          <w:b w:val="0"/>
          <w:sz w:val="22"/>
        </w:rPr>
        <w:t>Kvalitetssystemet for medisinsk og helsefaglig forskning til å omfatt</w:t>
      </w:r>
      <w:r w:rsidR="000726D0" w:rsidRPr="00356D98">
        <w:rPr>
          <w:rFonts w:ascii="Georgia" w:hAnsi="Georgia"/>
          <w:b w:val="0"/>
          <w:sz w:val="22"/>
        </w:rPr>
        <w:t>e all forskning, og med det utgjøre</w:t>
      </w:r>
      <w:r w:rsidRPr="00356D98">
        <w:rPr>
          <w:rFonts w:ascii="Georgia" w:hAnsi="Georgia"/>
          <w:b w:val="0"/>
          <w:sz w:val="22"/>
        </w:rPr>
        <w:t xml:space="preserve"> et </w:t>
      </w:r>
      <w:r w:rsidR="000726D0" w:rsidRPr="00356D98">
        <w:rPr>
          <w:rFonts w:ascii="Georgia" w:hAnsi="Georgia"/>
          <w:b w:val="0"/>
          <w:sz w:val="22"/>
        </w:rPr>
        <w:t xml:space="preserve">Kvalitetssystem for forskning. </w:t>
      </w:r>
      <w:r w:rsidRPr="00356D98">
        <w:rPr>
          <w:rFonts w:ascii="Georgia" w:hAnsi="Georgia"/>
          <w:b w:val="0"/>
          <w:sz w:val="22"/>
        </w:rPr>
        <w:t xml:space="preserve"> </w:t>
      </w:r>
    </w:p>
    <w:p w:rsidR="00C85DD1" w:rsidRPr="00356D98" w:rsidRDefault="00C85DD1" w:rsidP="00356D98">
      <w:pPr>
        <w:pStyle w:val="Heading2"/>
        <w:spacing w:line="240" w:lineRule="auto"/>
        <w:rPr>
          <w:color w:val="auto"/>
          <w:lang w:val="nb-NO"/>
        </w:rPr>
      </w:pPr>
      <w:r w:rsidRPr="00356D98">
        <w:rPr>
          <w:color w:val="auto"/>
          <w:sz w:val="22"/>
          <w:lang w:val="nb-NO"/>
        </w:rPr>
        <w:t>Oversikt over all behandling av personopplysninger i forskning</w:t>
      </w:r>
      <w:r w:rsidR="00356D98" w:rsidRPr="00356D98">
        <w:rPr>
          <w:color w:val="auto"/>
          <w:sz w:val="22"/>
          <w:lang w:val="nb-NO"/>
        </w:rPr>
        <w:br/>
      </w:r>
      <w:r w:rsidRPr="00356D98">
        <w:rPr>
          <w:rFonts w:ascii="Georgia" w:hAnsi="Georgia"/>
          <w:b w:val="0"/>
          <w:color w:val="auto"/>
          <w:sz w:val="22"/>
        </w:rPr>
        <w:t xml:space="preserve">Personvernforordningen pålegger UiO å ha en oversikt over all behandling av personopplysninger. For behandling av personopplysninger i medisinsk og helsefaglig forskning har UiO en slik intern oversikt i </w:t>
      </w:r>
      <w:proofErr w:type="spellStart"/>
      <w:r w:rsidRPr="00356D98">
        <w:rPr>
          <w:rFonts w:ascii="Georgia" w:hAnsi="Georgia"/>
          <w:b w:val="0"/>
          <w:color w:val="auto"/>
          <w:sz w:val="22"/>
        </w:rPr>
        <w:t>Helseforsk</w:t>
      </w:r>
      <w:proofErr w:type="spellEnd"/>
      <w:r w:rsidRPr="00356D98">
        <w:rPr>
          <w:rFonts w:ascii="Georgia" w:hAnsi="Georgia"/>
          <w:b w:val="0"/>
          <w:color w:val="auto"/>
          <w:sz w:val="22"/>
        </w:rPr>
        <w:t>. For behandling av personopplysninger i annen forskning er denne oversikten eksternt i NSDs meldearkiv. For at UiO selv skal sitte på en fullstendig oversikt, samt innarbeide bedre og overordnede rutiner for all forskning, arbeid</w:t>
      </w:r>
      <w:r w:rsidR="00356D98" w:rsidRPr="00356D98">
        <w:rPr>
          <w:rFonts w:ascii="Georgia" w:hAnsi="Georgia"/>
          <w:b w:val="0"/>
          <w:color w:val="auto"/>
          <w:sz w:val="22"/>
        </w:rPr>
        <w:t>e</w:t>
      </w:r>
      <w:r w:rsidRPr="00356D98">
        <w:rPr>
          <w:rFonts w:ascii="Georgia" w:hAnsi="Georgia"/>
          <w:b w:val="0"/>
          <w:color w:val="auto"/>
          <w:sz w:val="22"/>
        </w:rPr>
        <w:t xml:space="preserve">s det med å utvide </w:t>
      </w:r>
      <w:proofErr w:type="spellStart"/>
      <w:r w:rsidRPr="00356D98">
        <w:rPr>
          <w:rFonts w:ascii="Georgia" w:hAnsi="Georgia"/>
          <w:b w:val="0"/>
          <w:color w:val="auto"/>
          <w:sz w:val="22"/>
        </w:rPr>
        <w:t>Helseforsk</w:t>
      </w:r>
      <w:proofErr w:type="spellEnd"/>
      <w:r w:rsidRPr="00356D98">
        <w:rPr>
          <w:rFonts w:ascii="Georgia" w:hAnsi="Georgia"/>
          <w:b w:val="0"/>
          <w:color w:val="auto"/>
          <w:sz w:val="22"/>
        </w:rPr>
        <w:t xml:space="preserve"> til å omfatte all forskning. Dette har også vært et ønske fra alle </w:t>
      </w:r>
      <w:proofErr w:type="spellStart"/>
      <w:r w:rsidRPr="00356D98">
        <w:rPr>
          <w:rFonts w:ascii="Georgia" w:hAnsi="Georgia"/>
          <w:b w:val="0"/>
          <w:color w:val="auto"/>
          <w:sz w:val="22"/>
        </w:rPr>
        <w:t>HumSam</w:t>
      </w:r>
      <w:proofErr w:type="spellEnd"/>
      <w:r w:rsidRPr="00356D98">
        <w:rPr>
          <w:rFonts w:ascii="Georgia" w:hAnsi="Georgia"/>
          <w:b w:val="0"/>
          <w:color w:val="auto"/>
          <w:sz w:val="22"/>
        </w:rPr>
        <w:t>-fakultetene ved UiO.</w:t>
      </w:r>
      <w:r w:rsidRPr="00356D98">
        <w:rPr>
          <w:color w:val="auto"/>
          <w:sz w:val="22"/>
        </w:rPr>
        <w:t xml:space="preserve"> </w:t>
      </w:r>
    </w:p>
    <w:p w:rsidR="00C85DD1" w:rsidRDefault="00C85DD1" w:rsidP="00FE3D51"/>
    <w:sectPr w:rsidR="00C85DD1" w:rsidSect="00356D98">
      <w:headerReference w:type="default" r:id="rId7"/>
      <w:footerReference w:type="default" r:id="rId8"/>
      <w:headerReference w:type="first" r:id="rId9"/>
      <w:footerReference w:type="first" r:id="rId10"/>
      <w:pgSz w:w="11906" w:h="16838" w:code="9"/>
      <w:pgMar w:top="1418" w:right="1134" w:bottom="1560" w:left="1134"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E8F" w:rsidRDefault="00035E8F" w:rsidP="006F2626">
      <w:r>
        <w:separator/>
      </w:r>
    </w:p>
  </w:endnote>
  <w:endnote w:type="continuationSeparator" w:id="0">
    <w:p w:rsidR="00035E8F" w:rsidRDefault="00035E8F" w:rsidP="006F2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D51" w:rsidRPr="004416D1" w:rsidRDefault="00FE3D51" w:rsidP="00856A20">
    <w:pPr>
      <w:pStyle w:val="Footer"/>
      <w:ind w:left="2551"/>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410" w:type="dxa"/>
      <w:tblLayout w:type="fixed"/>
      <w:tblCellMar>
        <w:left w:w="0" w:type="dxa"/>
        <w:right w:w="57" w:type="dxa"/>
      </w:tblCellMar>
      <w:tblLook w:val="04A0" w:firstRow="1" w:lastRow="0" w:firstColumn="1" w:lastColumn="0" w:noHBand="0" w:noVBand="1"/>
    </w:tblPr>
    <w:tblGrid>
      <w:gridCol w:w="7229"/>
    </w:tblGrid>
    <w:tr w:rsidR="00FE3D51" w:rsidRPr="00296BD0" w:rsidTr="005A45D4">
      <w:trPr>
        <w:trHeight w:hRule="exact" w:val="1219"/>
      </w:trPr>
      <w:tc>
        <w:tcPr>
          <w:tcW w:w="7229" w:type="dxa"/>
        </w:tcPr>
        <w:p w:rsidR="00FE3D51" w:rsidRDefault="00ED26DD" w:rsidP="004F6A46">
          <w:pPr>
            <w:pStyle w:val="Footer"/>
          </w:pPr>
          <w:r>
            <w:t xml:space="preserve">  </w:t>
          </w:r>
        </w:p>
        <w:p w:rsidR="00ED26DD" w:rsidRDefault="00ED26DD" w:rsidP="00ED26DD">
          <w:pPr>
            <w:pStyle w:val="Footer"/>
          </w:pPr>
          <w:r>
            <w:t xml:space="preserve">                                            </w:t>
          </w:r>
        </w:p>
        <w:p w:rsidR="00ED26DD" w:rsidRPr="00296BD0" w:rsidRDefault="00ED26DD" w:rsidP="00ED26DD">
          <w:pPr>
            <w:pStyle w:val="Footer"/>
          </w:pPr>
          <w:r>
            <w:t xml:space="preserve">                                                                                                                                                  Side 1 av 1</w:t>
          </w:r>
        </w:p>
      </w:tc>
    </w:tr>
  </w:tbl>
  <w:p w:rsidR="00FE3D51" w:rsidRPr="00296BD0" w:rsidRDefault="00FE3D51" w:rsidP="00442F10">
    <w:pPr>
      <w:pStyle w:val="Footer"/>
      <w:ind w:left="2552"/>
    </w:pPr>
    <w:r>
      <w:rPr>
        <w:b/>
        <w:noProof/>
        <w:szCs w:val="18"/>
        <w:lang w:eastAsia="nb-NO"/>
      </w:rPr>
      <w:drawing>
        <wp:anchor distT="0" distB="0" distL="114300" distR="114300" simplePos="0" relativeHeight="251652608" behindDoc="1" locked="0" layoutInCell="1" allowOverlap="1" wp14:anchorId="74DB8971" wp14:editId="0FDE75D6">
          <wp:simplePos x="0" y="0"/>
          <wp:positionH relativeFrom="page">
            <wp:posOffset>824865</wp:posOffset>
          </wp:positionH>
          <wp:positionV relativeFrom="page">
            <wp:posOffset>9530080</wp:posOffset>
          </wp:positionV>
          <wp:extent cx="762000" cy="762000"/>
          <wp:effectExtent l="0" t="0" r="0" b="0"/>
          <wp:wrapNone/>
          <wp:docPr id="40"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E8F" w:rsidRDefault="00035E8F" w:rsidP="006F2626">
      <w:r>
        <w:separator/>
      </w:r>
    </w:p>
  </w:footnote>
  <w:footnote w:type="continuationSeparator" w:id="0">
    <w:p w:rsidR="00035E8F" w:rsidRDefault="00035E8F" w:rsidP="006F2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D51" w:rsidRPr="00AC4272" w:rsidRDefault="00FE3D51" w:rsidP="00ED26DD">
    <w:pPr>
      <w:pStyle w:val="BodyText"/>
      <w:tabs>
        <w:tab w:val="left" w:pos="3390"/>
        <w:tab w:val="right" w:pos="9639"/>
      </w:tabs>
      <w:rPr>
        <w:b/>
      </w:rPr>
    </w:pPr>
    <w:r>
      <w:rPr>
        <w:b/>
        <w:noProof/>
        <w:lang w:eastAsia="nb-NO"/>
      </w:rPr>
      <w:drawing>
        <wp:anchor distT="0" distB="0" distL="114300" distR="114300" simplePos="0" relativeHeight="251655680" behindDoc="1" locked="1" layoutInCell="1" allowOverlap="1" wp14:anchorId="24BCD6FF" wp14:editId="53456750">
          <wp:simplePos x="0" y="0"/>
          <wp:positionH relativeFrom="page">
            <wp:posOffset>702945</wp:posOffset>
          </wp:positionH>
          <wp:positionV relativeFrom="page">
            <wp:posOffset>423545</wp:posOffset>
          </wp:positionV>
          <wp:extent cx="561975" cy="207645"/>
          <wp:effectExtent l="0" t="0" r="0" b="0"/>
          <wp:wrapNone/>
          <wp:docPr id="36" name="Picture 36" descr="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O_20x10mm"/>
                  <pic:cNvPicPr>
                    <a:picLocks noChangeAspect="1" noChangeArrowheads="1"/>
                  </pic:cNvPicPr>
                </pic:nvPicPr>
                <pic:blipFill>
                  <a:blip r:embed="rId1">
                    <a:extLst>
                      <a:ext uri="{28A0092B-C50C-407E-A947-70E740481C1C}">
                        <a14:useLocalDpi xmlns:a14="http://schemas.microsoft.com/office/drawing/2010/main" val="0"/>
                      </a:ext>
                    </a:extLst>
                  </a:blip>
                  <a:srcRect l="-2847" r="-2135" b="-24904"/>
                  <a:stretch>
                    <a:fillRect/>
                  </a:stretch>
                </pic:blipFill>
                <pic:spPr bwMode="auto">
                  <a:xfrm>
                    <a:off x="0" y="0"/>
                    <a:ext cx="561975" cy="207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64" w:type="dxa"/>
      <w:tblLook w:val="04A0" w:firstRow="1" w:lastRow="0" w:firstColumn="1" w:lastColumn="0" w:noHBand="0" w:noVBand="1"/>
    </w:tblPr>
    <w:tblGrid>
      <w:gridCol w:w="7540"/>
      <w:gridCol w:w="1134"/>
    </w:tblGrid>
    <w:tr w:rsidR="00FE3D51" w:rsidRPr="00CB1F83" w:rsidTr="00C70BC3">
      <w:tc>
        <w:tcPr>
          <w:tcW w:w="7791" w:type="dxa"/>
        </w:tcPr>
        <w:p w:rsidR="00FE3D51" w:rsidRPr="00A6739A" w:rsidRDefault="00FE3D51" w:rsidP="004F6A46">
          <w:pPr>
            <w:pStyle w:val="Header"/>
          </w:pPr>
          <w:r>
            <w:t>Universitetet i Oslo</w:t>
          </w:r>
          <w:r>
            <w:rPr>
              <w:noProof/>
              <w:lang w:eastAsia="nb-NO"/>
            </w:rPr>
            <w:drawing>
              <wp:anchor distT="0" distB="0" distL="114300" distR="114300" simplePos="0" relativeHeight="251658752" behindDoc="1" locked="1" layoutInCell="1" allowOverlap="1" wp14:anchorId="783AAA72" wp14:editId="28994520">
                <wp:simplePos x="0" y="0"/>
                <wp:positionH relativeFrom="page">
                  <wp:posOffset>-570230</wp:posOffset>
                </wp:positionH>
                <wp:positionV relativeFrom="page">
                  <wp:posOffset>13335</wp:posOffset>
                </wp:positionV>
                <wp:extent cx="561340" cy="182880"/>
                <wp:effectExtent l="0" t="0" r="0" b="0"/>
                <wp:wrapNone/>
                <wp:docPr id="37"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Pr>
        <w:p w:rsidR="00FE3D51" w:rsidRPr="00A6739A" w:rsidRDefault="00FE3D51" w:rsidP="004F6A46">
          <w:pPr>
            <w:pStyle w:val="Header"/>
          </w:pPr>
          <w:r w:rsidRPr="00A6739A">
            <w:t>Notat</w:t>
          </w:r>
        </w:p>
      </w:tc>
    </w:tr>
    <w:tr w:rsidR="00FE3D51" w:rsidRPr="004F6A46" w:rsidTr="005F6C42">
      <w:tc>
        <w:tcPr>
          <w:tcW w:w="8890" w:type="dxa"/>
          <w:gridSpan w:val="2"/>
        </w:tcPr>
        <w:p w:rsidR="00FE3D51" w:rsidRPr="004F6A46" w:rsidRDefault="00FE3D51" w:rsidP="004F6A46">
          <w:pPr>
            <w:pStyle w:val="Header"/>
            <w:rPr>
              <w:b w:val="0"/>
              <w:sz w:val="24"/>
            </w:rPr>
          </w:pPr>
          <w:r w:rsidRPr="004F6A46">
            <w:rPr>
              <w:b w:val="0"/>
              <w:sz w:val="24"/>
            </w:rPr>
            <w:t>USIT – Universitetets senter for info</w:t>
          </w:r>
          <w:r>
            <w:rPr>
              <w:b w:val="0"/>
              <w:sz w:val="24"/>
            </w:rPr>
            <w:t>r</w:t>
          </w:r>
          <w:r w:rsidRPr="004F6A46">
            <w:rPr>
              <w:b w:val="0"/>
              <w:sz w:val="24"/>
            </w:rPr>
            <w:t>masjonsteknologi</w:t>
          </w:r>
        </w:p>
      </w:tc>
    </w:tr>
  </w:tbl>
  <w:p w:rsidR="00FE3D51" w:rsidRDefault="00FE3D51" w:rsidP="00ED26DD">
    <w:pPr>
      <w:pStyle w:val="Header"/>
      <w:tabs>
        <w:tab w:val="clear" w:pos="4536"/>
        <w:tab w:val="clear" w:pos="9072"/>
        <w:tab w:val="left" w:pos="3765"/>
      </w:tabs>
      <w:ind w:left="964"/>
    </w:pPr>
    <w:r>
      <w:rPr>
        <w:noProof/>
        <w:lang w:eastAsia="nb-NO"/>
      </w:rPr>
      <w:drawing>
        <wp:anchor distT="0" distB="0" distL="114300" distR="114300" simplePos="0" relativeHeight="251664896" behindDoc="1" locked="1" layoutInCell="1" allowOverlap="1" wp14:anchorId="7526B825" wp14:editId="1AFDA708">
          <wp:simplePos x="0" y="0"/>
          <wp:positionH relativeFrom="page">
            <wp:posOffset>805815</wp:posOffset>
          </wp:positionH>
          <wp:positionV relativeFrom="page">
            <wp:posOffset>4568190</wp:posOffset>
          </wp:positionV>
          <wp:extent cx="798830" cy="798195"/>
          <wp:effectExtent l="0" t="0" r="0" b="0"/>
          <wp:wrapNone/>
          <wp:docPr id="38"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61824" behindDoc="1" locked="1" layoutInCell="1" allowOverlap="1" wp14:anchorId="0B4C7C7C" wp14:editId="0FFD9F8C">
          <wp:simplePos x="0" y="0"/>
          <wp:positionH relativeFrom="page">
            <wp:posOffset>805815</wp:posOffset>
          </wp:positionH>
          <wp:positionV relativeFrom="page">
            <wp:posOffset>3718560</wp:posOffset>
          </wp:positionV>
          <wp:extent cx="798830" cy="798195"/>
          <wp:effectExtent l="0" t="0" r="0" b="0"/>
          <wp:wrapNone/>
          <wp:docPr id="39"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ED26DD">
      <w:tab/>
    </w:r>
  </w:p>
  <w:p w:rsidR="00ED26DD" w:rsidRPr="00ED26DD" w:rsidRDefault="00ED26DD" w:rsidP="00ED26DD">
    <w:pPr>
      <w:pStyle w:val="Header"/>
      <w:tabs>
        <w:tab w:val="clear" w:pos="4536"/>
        <w:tab w:val="clear" w:pos="9072"/>
        <w:tab w:val="left" w:pos="3765"/>
      </w:tabs>
      <w:ind w:left="964"/>
      <w:rPr>
        <w:b w:val="0"/>
      </w:rPr>
    </w:pPr>
    <w:r>
      <w:tab/>
    </w:r>
    <w:r>
      <w:tab/>
    </w:r>
    <w:r>
      <w:tab/>
    </w:r>
    <w:r>
      <w:tab/>
    </w:r>
    <w:r>
      <w:tab/>
    </w:r>
    <w:r>
      <w:tab/>
    </w:r>
    <w:r w:rsidRPr="00ED26DD">
      <w:rPr>
        <w:b w:val="0"/>
        <w:sz w:val="20"/>
      </w:rPr>
      <w:t>24.05.2018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A94A8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48CC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EFAB72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6E4228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59674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70CCA9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F368A3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6B2206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5908F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3CCCE2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DE2245E8"/>
    <w:lvl w:ilvl="0">
      <w:start w:val="1"/>
      <w:numFmt w:val="bullet"/>
      <w:pStyle w:val="ListBullet"/>
      <w:lvlText w:val=""/>
      <w:lvlJc w:val="left"/>
      <w:pPr>
        <w:ind w:left="717" w:hanging="360"/>
      </w:pPr>
      <w:rPr>
        <w:rFonts w:ascii="Wingdings" w:hAnsi="Wingdings" w:hint="default"/>
      </w:rPr>
    </w:lvl>
  </w:abstractNum>
  <w:num w:numId="1">
    <w:abstractNumId w:val="10"/>
  </w:num>
  <w:num w:numId="2">
    <w:abstractNumId w:val="10"/>
  </w:num>
  <w:num w:numId="3">
    <w:abstractNumId w:val="9"/>
  </w:num>
  <w:num w:numId="4">
    <w:abstractNumId w:val="9"/>
  </w:num>
  <w:num w:numId="5">
    <w:abstractNumId w:val="0"/>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10"/>
  </w:num>
  <w:num w:numId="15">
    <w:abstractNumId w:val="9"/>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E8F"/>
    <w:rsid w:val="00025304"/>
    <w:rsid w:val="00032347"/>
    <w:rsid w:val="00035E8F"/>
    <w:rsid w:val="00051671"/>
    <w:rsid w:val="000532F9"/>
    <w:rsid w:val="000711C4"/>
    <w:rsid w:val="000726D0"/>
    <w:rsid w:val="000838D4"/>
    <w:rsid w:val="000C5ED5"/>
    <w:rsid w:val="000E66F6"/>
    <w:rsid w:val="00121A68"/>
    <w:rsid w:val="00147EC9"/>
    <w:rsid w:val="0016697A"/>
    <w:rsid w:val="00170244"/>
    <w:rsid w:val="00174BF1"/>
    <w:rsid w:val="001811DB"/>
    <w:rsid w:val="001874B0"/>
    <w:rsid w:val="001A43FF"/>
    <w:rsid w:val="001A63F3"/>
    <w:rsid w:val="001B389C"/>
    <w:rsid w:val="001B3CDF"/>
    <w:rsid w:val="001C3144"/>
    <w:rsid w:val="001C53D1"/>
    <w:rsid w:val="001E1FD6"/>
    <w:rsid w:val="001F2CDA"/>
    <w:rsid w:val="00201362"/>
    <w:rsid w:val="00202A26"/>
    <w:rsid w:val="00203485"/>
    <w:rsid w:val="00204F25"/>
    <w:rsid w:val="0020706A"/>
    <w:rsid w:val="00230005"/>
    <w:rsid w:val="002308E6"/>
    <w:rsid w:val="00245C77"/>
    <w:rsid w:val="002535E6"/>
    <w:rsid w:val="00261A25"/>
    <w:rsid w:val="002775A7"/>
    <w:rsid w:val="00284F0B"/>
    <w:rsid w:val="00291796"/>
    <w:rsid w:val="00296BD0"/>
    <w:rsid w:val="002A4945"/>
    <w:rsid w:val="002A664E"/>
    <w:rsid w:val="002C0398"/>
    <w:rsid w:val="002C1BB8"/>
    <w:rsid w:val="002E52AC"/>
    <w:rsid w:val="002F4F99"/>
    <w:rsid w:val="003157B3"/>
    <w:rsid w:val="0031741E"/>
    <w:rsid w:val="0032641E"/>
    <w:rsid w:val="00326DE7"/>
    <w:rsid w:val="00332A21"/>
    <w:rsid w:val="00340EA5"/>
    <w:rsid w:val="00356D98"/>
    <w:rsid w:val="00373703"/>
    <w:rsid w:val="00381B02"/>
    <w:rsid w:val="00385FD5"/>
    <w:rsid w:val="00386070"/>
    <w:rsid w:val="003A7014"/>
    <w:rsid w:val="003A733F"/>
    <w:rsid w:val="003B4B8A"/>
    <w:rsid w:val="004008F0"/>
    <w:rsid w:val="00412561"/>
    <w:rsid w:val="004213D6"/>
    <w:rsid w:val="00432910"/>
    <w:rsid w:val="004416D1"/>
    <w:rsid w:val="00442F10"/>
    <w:rsid w:val="00471DAC"/>
    <w:rsid w:val="00472B98"/>
    <w:rsid w:val="00483FE9"/>
    <w:rsid w:val="00485ABD"/>
    <w:rsid w:val="004A1052"/>
    <w:rsid w:val="004B6046"/>
    <w:rsid w:val="004D63A6"/>
    <w:rsid w:val="004E10D2"/>
    <w:rsid w:val="004E69B4"/>
    <w:rsid w:val="004F44DB"/>
    <w:rsid w:val="004F6A46"/>
    <w:rsid w:val="00503DE0"/>
    <w:rsid w:val="00507BAE"/>
    <w:rsid w:val="0051239B"/>
    <w:rsid w:val="0053482F"/>
    <w:rsid w:val="00555487"/>
    <w:rsid w:val="00556ECF"/>
    <w:rsid w:val="005669BB"/>
    <w:rsid w:val="00574517"/>
    <w:rsid w:val="005747FB"/>
    <w:rsid w:val="005775EB"/>
    <w:rsid w:val="00582B29"/>
    <w:rsid w:val="005A45D4"/>
    <w:rsid w:val="005D28E7"/>
    <w:rsid w:val="005D5FE5"/>
    <w:rsid w:val="005E0D18"/>
    <w:rsid w:val="005F24A8"/>
    <w:rsid w:val="005F6C42"/>
    <w:rsid w:val="00601F3F"/>
    <w:rsid w:val="00605067"/>
    <w:rsid w:val="00624A1D"/>
    <w:rsid w:val="00630C2C"/>
    <w:rsid w:val="00637134"/>
    <w:rsid w:val="00646C8D"/>
    <w:rsid w:val="006513AB"/>
    <w:rsid w:val="0069792F"/>
    <w:rsid w:val="006B2A25"/>
    <w:rsid w:val="006C4552"/>
    <w:rsid w:val="006F2626"/>
    <w:rsid w:val="006F5413"/>
    <w:rsid w:val="00707411"/>
    <w:rsid w:val="00713AC6"/>
    <w:rsid w:val="007165D3"/>
    <w:rsid w:val="00720B4C"/>
    <w:rsid w:val="0072108B"/>
    <w:rsid w:val="007227B2"/>
    <w:rsid w:val="00730790"/>
    <w:rsid w:val="007322A0"/>
    <w:rsid w:val="00737E2C"/>
    <w:rsid w:val="00751529"/>
    <w:rsid w:val="00762E07"/>
    <w:rsid w:val="0076588D"/>
    <w:rsid w:val="00783D0C"/>
    <w:rsid w:val="007A1956"/>
    <w:rsid w:val="007A5E67"/>
    <w:rsid w:val="007E4DBD"/>
    <w:rsid w:val="007E5442"/>
    <w:rsid w:val="007F1A02"/>
    <w:rsid w:val="007F240E"/>
    <w:rsid w:val="008263FD"/>
    <w:rsid w:val="00851BF9"/>
    <w:rsid w:val="00856A20"/>
    <w:rsid w:val="008766DC"/>
    <w:rsid w:val="00883A2A"/>
    <w:rsid w:val="008C43B7"/>
    <w:rsid w:val="008D4F3B"/>
    <w:rsid w:val="008D547F"/>
    <w:rsid w:val="00900188"/>
    <w:rsid w:val="00921DBC"/>
    <w:rsid w:val="00932FA4"/>
    <w:rsid w:val="009471ED"/>
    <w:rsid w:val="0095053A"/>
    <w:rsid w:val="00953E43"/>
    <w:rsid w:val="0096155B"/>
    <w:rsid w:val="00964599"/>
    <w:rsid w:val="00982A88"/>
    <w:rsid w:val="00985D9C"/>
    <w:rsid w:val="009A2881"/>
    <w:rsid w:val="009A702C"/>
    <w:rsid w:val="009D246D"/>
    <w:rsid w:val="009D4C81"/>
    <w:rsid w:val="009E7795"/>
    <w:rsid w:val="00A2381F"/>
    <w:rsid w:val="00A40D47"/>
    <w:rsid w:val="00A4466F"/>
    <w:rsid w:val="00A46423"/>
    <w:rsid w:val="00A62B82"/>
    <w:rsid w:val="00A6739A"/>
    <w:rsid w:val="00A7494C"/>
    <w:rsid w:val="00A83BEE"/>
    <w:rsid w:val="00A93757"/>
    <w:rsid w:val="00AA7420"/>
    <w:rsid w:val="00AB27CF"/>
    <w:rsid w:val="00AB4890"/>
    <w:rsid w:val="00AC4272"/>
    <w:rsid w:val="00AE46FF"/>
    <w:rsid w:val="00AE6604"/>
    <w:rsid w:val="00B13C7C"/>
    <w:rsid w:val="00B27A87"/>
    <w:rsid w:val="00B43027"/>
    <w:rsid w:val="00B74C8D"/>
    <w:rsid w:val="00B93ADD"/>
    <w:rsid w:val="00BA21FA"/>
    <w:rsid w:val="00BB5CDD"/>
    <w:rsid w:val="00BE2551"/>
    <w:rsid w:val="00C1524A"/>
    <w:rsid w:val="00C23CF2"/>
    <w:rsid w:val="00C247D6"/>
    <w:rsid w:val="00C37D1F"/>
    <w:rsid w:val="00C70BC3"/>
    <w:rsid w:val="00C80F67"/>
    <w:rsid w:val="00C820B6"/>
    <w:rsid w:val="00C85DD1"/>
    <w:rsid w:val="00CB0094"/>
    <w:rsid w:val="00CD16CE"/>
    <w:rsid w:val="00CD188B"/>
    <w:rsid w:val="00CE709C"/>
    <w:rsid w:val="00D60ECA"/>
    <w:rsid w:val="00D6207B"/>
    <w:rsid w:val="00DA527E"/>
    <w:rsid w:val="00DB26FB"/>
    <w:rsid w:val="00DB5AB2"/>
    <w:rsid w:val="00DC1458"/>
    <w:rsid w:val="00DC6F17"/>
    <w:rsid w:val="00DD1C40"/>
    <w:rsid w:val="00DE0893"/>
    <w:rsid w:val="00DE181B"/>
    <w:rsid w:val="00DE293E"/>
    <w:rsid w:val="00DF097B"/>
    <w:rsid w:val="00E3571B"/>
    <w:rsid w:val="00E77FDC"/>
    <w:rsid w:val="00E8120C"/>
    <w:rsid w:val="00E86121"/>
    <w:rsid w:val="00EA1493"/>
    <w:rsid w:val="00EC503D"/>
    <w:rsid w:val="00ED26DD"/>
    <w:rsid w:val="00EE6F9C"/>
    <w:rsid w:val="00EF541D"/>
    <w:rsid w:val="00F00100"/>
    <w:rsid w:val="00F26702"/>
    <w:rsid w:val="00F27883"/>
    <w:rsid w:val="00F35D82"/>
    <w:rsid w:val="00F36B6B"/>
    <w:rsid w:val="00F54A1E"/>
    <w:rsid w:val="00F831A0"/>
    <w:rsid w:val="00F96B48"/>
    <w:rsid w:val="00FA06C0"/>
    <w:rsid w:val="00FA3FF1"/>
    <w:rsid w:val="00FB462F"/>
    <w:rsid w:val="00FD3D9D"/>
    <w:rsid w:val="00FD4641"/>
    <w:rsid w:val="00FE3D51"/>
    <w:rsid w:val="00FE4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1DE9F75"/>
  <w14:defaultImageDpi w14:val="300"/>
  <w15:docId w15:val="{12D9240E-46E1-4937-8EAE-EA98BFD2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3C7C"/>
    <w:rPr>
      <w:rFonts w:ascii="Georgia" w:hAnsi="Georgia" w:cstheme="minorBidi"/>
      <w:sz w:val="22"/>
      <w:szCs w:val="22"/>
      <w:lang w:val="nb-NO"/>
    </w:rPr>
  </w:style>
  <w:style w:type="paragraph" w:styleId="Heading1">
    <w:name w:val="heading 1"/>
    <w:basedOn w:val="BodyText"/>
    <w:next w:val="BodyText"/>
    <w:link w:val="Heading1Char"/>
    <w:uiPriority w:val="9"/>
    <w:qFormat/>
    <w:rsid w:val="00E3571B"/>
    <w:pPr>
      <w:keepNext/>
      <w:keepLines/>
      <w:spacing w:before="480" w:after="120"/>
      <w:outlineLvl w:val="0"/>
    </w:pPr>
    <w:rPr>
      <w:rFonts w:ascii="Tahoma" w:eastAsia="Times New Roman" w:hAnsi="Tahoma"/>
      <w:b/>
      <w:bCs/>
      <w:color w:val="000000" w:themeColor="text1"/>
      <w:sz w:val="28"/>
      <w:szCs w:val="28"/>
      <w:lang w:val="x-none"/>
    </w:rPr>
  </w:style>
  <w:style w:type="paragraph" w:styleId="Heading2">
    <w:name w:val="heading 2"/>
    <w:basedOn w:val="Heading1"/>
    <w:next w:val="BodyText"/>
    <w:link w:val="Heading2Char"/>
    <w:uiPriority w:val="9"/>
    <w:qFormat/>
    <w:rsid w:val="00230005"/>
    <w:pPr>
      <w:spacing w:before="240"/>
      <w:outlineLvl w:val="1"/>
    </w:pPr>
    <w:rPr>
      <w:rFonts w:eastAsia="SimSun"/>
      <w:bCs w:val="0"/>
      <w:sz w:val="24"/>
      <w:szCs w:val="32"/>
      <w:lang w:eastAsia="zh-CN"/>
    </w:rPr>
  </w:style>
  <w:style w:type="paragraph" w:styleId="Heading3">
    <w:name w:val="heading 3"/>
    <w:basedOn w:val="Heading2"/>
    <w:next w:val="BodyText"/>
    <w:link w:val="Heading3Char"/>
    <w:uiPriority w:val="9"/>
    <w:qFormat/>
    <w:rsid w:val="00230005"/>
    <w:pPr>
      <w:outlineLvl w:val="2"/>
    </w:pPr>
    <w:rPr>
      <w:rFonts w:eastAsia="Times New Roman"/>
      <w:b w:val="0"/>
      <w:bCs/>
    </w:rPr>
  </w:style>
  <w:style w:type="paragraph" w:styleId="Heading6">
    <w:name w:val="heading 6"/>
    <w:basedOn w:val="Normal"/>
    <w:next w:val="Normal"/>
    <w:link w:val="Heading6Char"/>
    <w:uiPriority w:val="9"/>
    <w:semiHidden/>
    <w:qFormat/>
    <w:rsid w:val="0023000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B13C7C"/>
    <w:pPr>
      <w:spacing w:after="240" w:line="288" w:lineRule="auto"/>
    </w:pPr>
  </w:style>
  <w:style w:type="character" w:customStyle="1" w:styleId="BodyTextChar">
    <w:name w:val="Body Text Char"/>
    <w:basedOn w:val="DefaultParagraphFont"/>
    <w:link w:val="BodyText"/>
    <w:uiPriority w:val="99"/>
    <w:rsid w:val="00B13C7C"/>
    <w:rPr>
      <w:rFonts w:ascii="Georgia" w:hAnsi="Georgia" w:cstheme="minorBidi"/>
      <w:sz w:val="22"/>
      <w:szCs w:val="22"/>
      <w:lang w:val="nb-NO"/>
    </w:rPr>
  </w:style>
  <w:style w:type="character" w:customStyle="1" w:styleId="Heading1Char">
    <w:name w:val="Heading 1 Char"/>
    <w:link w:val="Heading1"/>
    <w:uiPriority w:val="9"/>
    <w:rsid w:val="00E3571B"/>
    <w:rPr>
      <w:rFonts w:ascii="Tahoma" w:eastAsia="Times New Roman" w:hAnsi="Tahoma" w:cstheme="minorBidi"/>
      <w:b/>
      <w:bCs/>
      <w:color w:val="000000" w:themeColor="text1"/>
      <w:sz w:val="28"/>
      <w:szCs w:val="28"/>
      <w:lang w:val="x-none"/>
    </w:rPr>
  </w:style>
  <w:style w:type="character" w:customStyle="1" w:styleId="Heading2Char">
    <w:name w:val="Heading 2 Char"/>
    <w:link w:val="Heading2"/>
    <w:uiPriority w:val="9"/>
    <w:rsid w:val="00230005"/>
    <w:rPr>
      <w:rFonts w:ascii="Tahoma" w:eastAsia="SimSun" w:hAnsi="Tahoma" w:cstheme="minorBidi"/>
      <w:b/>
      <w:color w:val="000000" w:themeColor="text1"/>
      <w:sz w:val="24"/>
      <w:szCs w:val="32"/>
      <w:lang w:val="x-none" w:eastAsia="zh-CN"/>
    </w:rPr>
  </w:style>
  <w:style w:type="character" w:customStyle="1" w:styleId="Heading3Char">
    <w:name w:val="Heading 3 Char"/>
    <w:link w:val="Heading3"/>
    <w:uiPriority w:val="9"/>
    <w:rsid w:val="00230005"/>
    <w:rPr>
      <w:rFonts w:ascii="Tahoma" w:eastAsia="Times New Roman" w:hAnsi="Tahoma" w:cstheme="minorBidi"/>
      <w:bCs/>
      <w:color w:val="000000" w:themeColor="text1"/>
      <w:sz w:val="24"/>
      <w:szCs w:val="32"/>
      <w:lang w:val="x-none" w:eastAsia="zh-CN"/>
    </w:rPr>
  </w:style>
  <w:style w:type="paragraph" w:styleId="BalloonText">
    <w:name w:val="Balloon Text"/>
    <w:basedOn w:val="Normal"/>
    <w:link w:val="BalloonTextChar"/>
    <w:uiPriority w:val="99"/>
    <w:semiHidden/>
    <w:unhideWhenUsed/>
    <w:rsid w:val="00245C77"/>
    <w:rPr>
      <w:rFonts w:ascii="Tahoma" w:hAnsi="Tahoma" w:cs="Tahoma"/>
      <w:sz w:val="16"/>
      <w:szCs w:val="16"/>
    </w:rPr>
  </w:style>
  <w:style w:type="character" w:customStyle="1" w:styleId="BalloonTextChar">
    <w:name w:val="Balloon Text Char"/>
    <w:basedOn w:val="DefaultParagraphFont"/>
    <w:link w:val="BalloonText"/>
    <w:uiPriority w:val="99"/>
    <w:semiHidden/>
    <w:rsid w:val="00245C77"/>
    <w:rPr>
      <w:rFonts w:ascii="Tahoma" w:hAnsi="Tahoma" w:cs="Tahoma"/>
      <w:sz w:val="16"/>
      <w:szCs w:val="16"/>
    </w:rPr>
  </w:style>
  <w:style w:type="paragraph" w:styleId="Header">
    <w:name w:val="header"/>
    <w:basedOn w:val="Normal"/>
    <w:link w:val="HeaderChar"/>
    <w:uiPriority w:val="99"/>
    <w:rsid w:val="00230005"/>
    <w:pPr>
      <w:tabs>
        <w:tab w:val="center" w:pos="4536"/>
        <w:tab w:val="right" w:pos="9072"/>
      </w:tabs>
    </w:pPr>
    <w:rPr>
      <w:b/>
      <w:sz w:val="32"/>
    </w:rPr>
  </w:style>
  <w:style w:type="character" w:customStyle="1" w:styleId="HeaderChar">
    <w:name w:val="Header Char"/>
    <w:link w:val="Header"/>
    <w:uiPriority w:val="99"/>
    <w:rsid w:val="00230005"/>
    <w:rPr>
      <w:rFonts w:ascii="Georgia" w:hAnsi="Georgia" w:cstheme="minorBidi"/>
      <w:b/>
      <w:sz w:val="32"/>
      <w:szCs w:val="22"/>
    </w:rPr>
  </w:style>
  <w:style w:type="paragraph" w:styleId="Footer">
    <w:name w:val="footer"/>
    <w:basedOn w:val="Normal"/>
    <w:link w:val="FooterChar"/>
    <w:uiPriority w:val="99"/>
    <w:unhideWhenUsed/>
    <w:rsid w:val="00230005"/>
    <w:pPr>
      <w:tabs>
        <w:tab w:val="center" w:pos="4536"/>
        <w:tab w:val="right" w:pos="9072"/>
      </w:tabs>
    </w:pPr>
    <w:rPr>
      <w:sz w:val="18"/>
    </w:rPr>
  </w:style>
  <w:style w:type="character" w:customStyle="1" w:styleId="FooterChar">
    <w:name w:val="Footer Char"/>
    <w:basedOn w:val="DefaultParagraphFont"/>
    <w:link w:val="Footer"/>
    <w:uiPriority w:val="99"/>
    <w:rsid w:val="00230005"/>
    <w:rPr>
      <w:rFonts w:ascii="Georgia" w:hAnsi="Georgia" w:cstheme="minorBidi"/>
      <w:sz w:val="18"/>
      <w:szCs w:val="22"/>
    </w:rPr>
  </w:style>
  <w:style w:type="table" w:styleId="TableGrid">
    <w:name w:val="Table Grid"/>
    <w:basedOn w:val="TableNormal"/>
    <w:uiPriority w:val="59"/>
    <w:rsid w:val="005D5FE5"/>
    <w:rPr>
      <w:rFonts w:ascii="Tahoma" w:hAnsi="Tahom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tblHeader/>
    </w:trPr>
  </w:style>
  <w:style w:type="paragraph" w:styleId="BodyText2">
    <w:name w:val="Body Text 2"/>
    <w:basedOn w:val="BodyText"/>
    <w:link w:val="BodyText2Char"/>
    <w:uiPriority w:val="99"/>
    <w:rsid w:val="00373703"/>
    <w:pPr>
      <w:spacing w:after="0"/>
      <w:contextualSpacing/>
    </w:pPr>
  </w:style>
  <w:style w:type="character" w:customStyle="1" w:styleId="BodyText2Char">
    <w:name w:val="Body Text 2 Char"/>
    <w:basedOn w:val="DefaultParagraphFont"/>
    <w:link w:val="BodyText2"/>
    <w:uiPriority w:val="99"/>
    <w:rsid w:val="00373703"/>
    <w:rPr>
      <w:rFonts w:ascii="Georgia" w:hAnsi="Georgia" w:cstheme="minorBidi"/>
      <w:sz w:val="22"/>
      <w:szCs w:val="22"/>
      <w:lang w:val="nb-NO"/>
    </w:rPr>
  </w:style>
  <w:style w:type="paragraph" w:styleId="ListBullet">
    <w:name w:val="List Bullet"/>
    <w:basedOn w:val="BodyText"/>
    <w:uiPriority w:val="99"/>
    <w:qFormat/>
    <w:rsid w:val="00230005"/>
    <w:pPr>
      <w:numPr>
        <w:numId w:val="14"/>
      </w:numPr>
      <w:contextualSpacing/>
    </w:pPr>
  </w:style>
  <w:style w:type="paragraph" w:styleId="ListNumber">
    <w:name w:val="List Number"/>
    <w:basedOn w:val="BodyText"/>
    <w:uiPriority w:val="99"/>
    <w:qFormat/>
    <w:rsid w:val="009D246D"/>
    <w:pPr>
      <w:numPr>
        <w:numId w:val="16"/>
      </w:numPr>
      <w:contextualSpacing/>
    </w:pPr>
  </w:style>
  <w:style w:type="paragraph" w:styleId="ListParagraph">
    <w:name w:val="List Paragraph"/>
    <w:basedOn w:val="BodyText"/>
    <w:uiPriority w:val="72"/>
    <w:qFormat/>
    <w:rsid w:val="00230005"/>
    <w:pPr>
      <w:ind w:left="357"/>
      <w:contextualSpacing/>
    </w:pPr>
  </w:style>
  <w:style w:type="character" w:styleId="PageNumber">
    <w:name w:val="page number"/>
    <w:basedOn w:val="DefaultParagraphFont"/>
    <w:uiPriority w:val="99"/>
    <w:rsid w:val="00230005"/>
  </w:style>
  <w:style w:type="paragraph" w:styleId="Quote">
    <w:name w:val="Quote"/>
    <w:basedOn w:val="BodyText"/>
    <w:next w:val="BodyText"/>
    <w:link w:val="QuoteChar"/>
    <w:uiPriority w:val="73"/>
    <w:qFormat/>
    <w:rsid w:val="00230005"/>
    <w:pPr>
      <w:ind w:left="357"/>
    </w:pPr>
    <w:rPr>
      <w:iCs/>
      <w:color w:val="000000" w:themeColor="text1"/>
    </w:rPr>
  </w:style>
  <w:style w:type="character" w:customStyle="1" w:styleId="QuoteChar">
    <w:name w:val="Quote Char"/>
    <w:basedOn w:val="DefaultParagraphFont"/>
    <w:link w:val="Quote"/>
    <w:uiPriority w:val="73"/>
    <w:rsid w:val="00230005"/>
    <w:rPr>
      <w:rFonts w:ascii="Georgia" w:hAnsi="Georgia" w:cstheme="minorBidi"/>
      <w:iCs/>
      <w:color w:val="000000" w:themeColor="text1"/>
      <w:sz w:val="22"/>
      <w:szCs w:val="22"/>
    </w:rPr>
  </w:style>
  <w:style w:type="paragraph" w:styleId="Salutation">
    <w:name w:val="Salutation"/>
    <w:basedOn w:val="BodyText"/>
    <w:next w:val="Normal"/>
    <w:link w:val="SalutationChar"/>
    <w:uiPriority w:val="99"/>
    <w:rsid w:val="00230005"/>
    <w:pPr>
      <w:tabs>
        <w:tab w:val="left" w:pos="4536"/>
      </w:tabs>
      <w:contextualSpacing/>
    </w:pPr>
  </w:style>
  <w:style w:type="character" w:customStyle="1" w:styleId="SalutationChar">
    <w:name w:val="Salutation Char"/>
    <w:basedOn w:val="DefaultParagraphFont"/>
    <w:link w:val="Salutation"/>
    <w:uiPriority w:val="99"/>
    <w:rsid w:val="00230005"/>
    <w:rPr>
      <w:rFonts w:ascii="Georgia" w:hAnsi="Georgia" w:cstheme="minorBidi"/>
      <w:sz w:val="22"/>
      <w:szCs w:val="22"/>
    </w:rPr>
  </w:style>
  <w:style w:type="paragraph" w:styleId="Title">
    <w:name w:val="Title"/>
    <w:basedOn w:val="BodyText"/>
    <w:next w:val="BodyText"/>
    <w:link w:val="TitleChar"/>
    <w:autoRedefine/>
    <w:uiPriority w:val="10"/>
    <w:qFormat/>
    <w:rsid w:val="00373703"/>
    <w:pPr>
      <w:pBdr>
        <w:bottom w:val="single" w:sz="8" w:space="1" w:color="262626" w:themeColor="text1" w:themeTint="D9"/>
      </w:pBdr>
      <w:spacing w:before="480" w:after="120"/>
      <w:contextualSpacing/>
    </w:pPr>
    <w:rPr>
      <w:rFonts w:ascii="Tahoma" w:eastAsia="MS Gothic" w:hAnsi="Tahoma" w:cs="Times New Roman"/>
      <w:b/>
      <w:color w:val="000000" w:themeColor="text1"/>
      <w:spacing w:val="5"/>
      <w:kern w:val="28"/>
      <w:sz w:val="32"/>
      <w:szCs w:val="52"/>
    </w:rPr>
  </w:style>
  <w:style w:type="character" w:customStyle="1" w:styleId="TitleChar">
    <w:name w:val="Title Char"/>
    <w:link w:val="Title"/>
    <w:uiPriority w:val="10"/>
    <w:rsid w:val="00373703"/>
    <w:rPr>
      <w:rFonts w:ascii="Tahoma" w:eastAsia="MS Gothic" w:hAnsi="Tahoma"/>
      <w:b/>
      <w:color w:val="000000" w:themeColor="text1"/>
      <w:spacing w:val="5"/>
      <w:kern w:val="28"/>
      <w:sz w:val="32"/>
      <w:szCs w:val="52"/>
      <w:lang w:val="nb-NO"/>
    </w:rPr>
  </w:style>
  <w:style w:type="character" w:styleId="FollowedHyperlink">
    <w:name w:val="FollowedHyperlink"/>
    <w:basedOn w:val="DefaultParagraphFont"/>
    <w:uiPriority w:val="99"/>
    <w:semiHidden/>
    <w:unhideWhenUsed/>
    <w:rsid w:val="00230005"/>
    <w:rPr>
      <w:color w:val="800080" w:themeColor="followedHyperlink"/>
      <w:u w:val="single"/>
    </w:rPr>
  </w:style>
  <w:style w:type="character" w:customStyle="1" w:styleId="Heading6Char">
    <w:name w:val="Heading 6 Char"/>
    <w:basedOn w:val="DefaultParagraphFont"/>
    <w:link w:val="Heading6"/>
    <w:uiPriority w:val="9"/>
    <w:semiHidden/>
    <w:rsid w:val="00230005"/>
    <w:rPr>
      <w:rFonts w:asciiTheme="majorHAnsi" w:eastAsiaTheme="majorEastAsia" w:hAnsiTheme="majorHAnsi" w:cstheme="majorBidi"/>
      <w:i/>
      <w:iCs/>
      <w:color w:val="243F60" w:themeColor="accent1" w:themeShade="7F"/>
      <w:sz w:val="22"/>
      <w:szCs w:val="22"/>
    </w:rPr>
  </w:style>
  <w:style w:type="character" w:styleId="Hyperlink">
    <w:name w:val="Hyperlink"/>
    <w:basedOn w:val="DefaultParagraphFont"/>
    <w:uiPriority w:val="99"/>
    <w:unhideWhenUsed/>
    <w:qFormat/>
    <w:rsid w:val="00230005"/>
    <w:rPr>
      <w:rFonts w:ascii="Georgia" w:hAnsi="Georgia"/>
      <w:color w:val="0000FF"/>
      <w:sz w:val="22"/>
      <w:u w:val="single"/>
    </w:rPr>
  </w:style>
  <w:style w:type="paragraph" w:styleId="List">
    <w:name w:val="List"/>
    <w:basedOn w:val="Normal"/>
    <w:uiPriority w:val="99"/>
    <w:unhideWhenUsed/>
    <w:rsid w:val="00230005"/>
    <w:pPr>
      <w:ind w:left="283" w:hanging="283"/>
      <w:contextualSpacing/>
    </w:pPr>
  </w:style>
  <w:style w:type="paragraph" w:customStyle="1" w:styleId="TableHead">
    <w:name w:val="Table Head"/>
    <w:basedOn w:val="BodyText"/>
    <w:qFormat/>
    <w:rsid w:val="005D5FE5"/>
    <w:pPr>
      <w:keepNext/>
      <w:spacing w:before="60" w:after="60" w:line="240" w:lineRule="auto"/>
    </w:pPr>
    <w:rPr>
      <w:rFonts w:ascii="Tahoma" w:hAnsi="Tahoma"/>
      <w:b/>
      <w:bCs/>
      <w:sz w:val="20"/>
      <w:szCs w:val="20"/>
    </w:rPr>
  </w:style>
  <w:style w:type="paragraph" w:customStyle="1" w:styleId="TableCell">
    <w:name w:val="Table Cell"/>
    <w:basedOn w:val="TableHead"/>
    <w:qFormat/>
    <w:rsid w:val="005D5FE5"/>
    <w:rPr>
      <w:b w:val="0"/>
    </w:rPr>
  </w:style>
  <w:style w:type="paragraph" w:styleId="Caption">
    <w:name w:val="caption"/>
    <w:basedOn w:val="BodyText"/>
    <w:uiPriority w:val="35"/>
    <w:semiHidden/>
    <w:qFormat/>
    <w:rsid w:val="005D5FE5"/>
    <w:pPr>
      <w:keepNext/>
      <w:spacing w:after="200"/>
    </w:pPr>
    <w:rPr>
      <w:rFonts w:ascii="Tahoma" w:hAnsi="Tahoma"/>
      <w:b/>
      <w:bCs/>
      <w:color w:val="000000" w:themeColor="text1"/>
      <w:szCs w:val="18"/>
    </w:rPr>
  </w:style>
  <w:style w:type="paragraph" w:customStyle="1" w:styleId="TableText">
    <w:name w:val="Table Text"/>
    <w:basedOn w:val="BodyText"/>
    <w:next w:val="BodyText"/>
    <w:qFormat/>
    <w:rsid w:val="005D5FE5"/>
    <w:pPr>
      <w:spacing w:before="120"/>
    </w:pPr>
    <w:rPr>
      <w:rFonts w:ascii="Tahoma" w:hAnsi="Tahoma"/>
      <w:sz w:val="20"/>
    </w:rPr>
  </w:style>
  <w:style w:type="table" w:styleId="TableList1">
    <w:name w:val="Table List 1"/>
    <w:basedOn w:val="TableNormal"/>
    <w:uiPriority w:val="99"/>
    <w:semiHidden/>
    <w:unhideWhenUsed/>
    <w:rsid w:val="005D5FE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kant\usit-felles\stab\It-Juridisk\Behandleransvaret\Nytt%20regelverk\EUs%20personvernforordning\Prosjekt\Vedtak\Notat.im&#248;tekomming%20av%20personvernforordningens%20konsekvenser%20for%20forskning.24.05.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Notat.imøtekomming av personvernforordningens konsekvenser for forskning.24.05.2018.dotx</Template>
  <TotalTime>13</TotalTime>
  <Pages>2</Pages>
  <Words>772</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Magnus Jegersberg</dc:creator>
  <cp:keywords/>
  <cp:lastModifiedBy>Maren Magnus Jegersberg</cp:lastModifiedBy>
  <cp:revision>4</cp:revision>
  <cp:lastPrinted>2010-11-05T13:01:00Z</cp:lastPrinted>
  <dcterms:created xsi:type="dcterms:W3CDTF">2018-05-23T15:50:00Z</dcterms:created>
  <dcterms:modified xsi:type="dcterms:W3CDTF">2018-05-23T16:20:00Z</dcterms:modified>
</cp:coreProperties>
</file>