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694" w:rsidRDefault="003C1694" w:rsidP="003C1694">
      <w:pPr>
        <w:pStyle w:val="Heading1"/>
      </w:pPr>
      <w:bookmarkStart w:id="0" w:name="_Toc367651624"/>
      <w:r>
        <w:t>Sammendrag</w:t>
      </w:r>
      <w:bookmarkEnd w:id="0"/>
    </w:p>
    <w:p w:rsidR="003C1694" w:rsidRDefault="003C1694" w:rsidP="003C1694">
      <w:pPr>
        <w:rPr>
          <w:b/>
        </w:rPr>
        <w:sectPr w:rsidR="003C1694" w:rsidSect="003C169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num="2" w:space="708"/>
          <w:docGrid w:linePitch="360"/>
        </w:sectPr>
      </w:pPr>
    </w:p>
    <w:p w:rsidR="003C1694" w:rsidRPr="000C7940" w:rsidRDefault="003C1694" w:rsidP="003C1694">
      <w:pPr>
        <w:rPr>
          <w:b/>
        </w:rPr>
      </w:pPr>
      <w:r>
        <w:rPr>
          <w:b/>
        </w:rPr>
        <w:lastRenderedPageBreak/>
        <w:t>Leiestedsmodellen handler om å synliggjøre ressursbruk til forskningsinfrastruktur ved norske universiteter og høyskoler og sikre inntekter til vedlikehold og videreutvikling av infrastrukturen.</w:t>
      </w:r>
    </w:p>
    <w:p w:rsidR="003C1694" w:rsidRDefault="0090266B" w:rsidP="003C1694">
      <w:r>
        <w:rPr>
          <w:noProof/>
          <w:lang w:eastAsia="zh-CN"/>
        </w:rPr>
        <w:pict>
          <v:line id="Straight Connector 35" o:spid="_x0000_s1026" style="position:absolute;z-index:251659264;visibility:visible" from="-1.35pt,6.7pt" to="460.1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" strokecolor="black [3213]"/>
        </w:pict>
      </w:r>
    </w:p>
    <w:p w:rsidR="003C1694" w:rsidRDefault="003C1694" w:rsidP="003C1694">
      <w:pPr>
        <w:sectPr w:rsidR="003C1694" w:rsidSect="00D80590">
          <w:type w:val="continuous"/>
          <w:pgSz w:w="11906" w:h="16838"/>
          <w:pgMar w:top="1417" w:right="1417" w:bottom="1417" w:left="1417" w:header="708" w:footer="708" w:gutter="0"/>
          <w:cols w:space="708"/>
          <w:docGrid w:linePitch="360"/>
        </w:sectPr>
      </w:pPr>
    </w:p>
    <w:p w:rsidR="003C1694" w:rsidRDefault="003C1694" w:rsidP="003C1694">
      <w:r>
        <w:lastRenderedPageBreak/>
        <w:t>De siste årene har det i regi av Universitets- og høgskolerådet (UHR) vært arbeidet med utvikling av enn nasjonal modell for synliggjøring av totale kost</w:t>
      </w:r>
      <w:bookmarkStart w:id="1" w:name="_GoBack"/>
      <w:bookmarkEnd w:id="1"/>
      <w:r>
        <w:t>nader generelt i forskningsprosjekter og for kostnader til forskningsinfrastruktur mer spesielt. Denne typen arbeid føyer seg inn i en allmenn europeisk trend der finansieringsordningene i EUs 7. rammeprogram for forskning og retningen for det nye rammeprogrammet, Horisont 2020, bidrar til et fokus på totale kostnader. I Norge ser vi:</w:t>
      </w:r>
    </w:p>
    <w:p w:rsidR="003C1694" w:rsidRDefault="003C1694" w:rsidP="003C1694">
      <w:pPr>
        <w:pStyle w:val="ListParagraph"/>
        <w:numPr>
          <w:ilvl w:val="0"/>
          <w:numId w:val="2"/>
        </w:numPr>
        <w:ind w:left="426"/>
      </w:pPr>
      <w:r>
        <w:t>Forskningsrådet har signalisert (2011) at totale kostnader skal legges til grunn i søknadene om bidragsmidler, og Forskningsrådet tar sikte på å finansiere hvert enkelt prosjekt i eksperimentelle miljøer bedre enn tilfellet har vært.</w:t>
      </w:r>
    </w:p>
    <w:p w:rsidR="003C1694" w:rsidRDefault="003C1694" w:rsidP="003C1694">
      <w:pPr>
        <w:pStyle w:val="ListParagraph"/>
        <w:numPr>
          <w:ilvl w:val="0"/>
          <w:numId w:val="2"/>
        </w:numPr>
        <w:ind w:left="426"/>
      </w:pPr>
      <w:r>
        <w:t>Forskningsrådet har også (2010) lagt om finansieringsordningene for vitenskapelig utstyr og bidrar nå bare til kjøp av slikt utstyr i nasjonale infrastrukturer. Utstyr i det enkelte fagmiljø er fagmiljøenes eget ansvar, men Forskningsrådet vil akseptere å dekke kostnadene for prosjektenes bruk av slikt utstyr.</w:t>
      </w:r>
    </w:p>
    <w:p w:rsidR="003C1694" w:rsidRDefault="003C1694" w:rsidP="003C1694">
      <w:r>
        <w:t xml:space="preserve">Totalkostnadsmodellen for universiteter og høyskoler (TDI-modellen), herunder leiestedsmodellen for håndtering av forskningsinfrastruktur, bidrar på denne måten til høyere inntekter til fagmiljøene. Det innebærer et større handlingsrom lokalt. Fokuset på totale kostnader er ment å integrere prosjektene enda tettere inn i ordinært finansiert virksomhet og fungerer som et verktøy særlig for en instituttleder som skal lede prioriteringsdiskusjoner der </w:t>
      </w:r>
      <w:r>
        <w:lastRenderedPageBreak/>
        <w:t>kunnskap om den reelle ressursbruken er et nødvendig (men ikke tilstrekkelig) grunnlag for samtalene. Et bedre grunnlag for styring lokalt der kjerneaktivitetene utføres, er et mål.</w:t>
      </w:r>
    </w:p>
    <w:p w:rsidR="003C1694" w:rsidRDefault="003C1694" w:rsidP="003C1694">
      <w:pPr>
        <w:pStyle w:val="Heading4"/>
      </w:pPr>
      <w:r>
        <w:t>Leiestedsmodellen</w:t>
      </w:r>
    </w:p>
    <w:p w:rsidR="003C1694" w:rsidRPr="0039641C" w:rsidRDefault="0090266B" w:rsidP="003C1694">
      <w:r w:rsidRPr="0090266B">
        <w:rPr>
          <w:i/>
          <w:noProof/>
          <w:lang w:eastAsia="zh-CN"/>
        </w:rPr>
        <w:pict>
          <v:shapetype id="_x0000_t202" coordsize="21600,21600" o:spt="202" path="m,l,21600r21600,l21600,xe">
            <v:stroke joinstyle="miter"/>
            <v:path gradientshapeok="t" o:connecttype="rect"/>
          </v:shapetype>
          <v:shape id="Text Box 2" o:spid="_x0000_s1033" type="#_x0000_t202" style="position:absolute;margin-left:-.65pt;margin-top:7.15pt;width:207.1pt;height:84.9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" fillcolor="#dbe5f1 [660]">
            <v:textbox>
              <w:txbxContent>
                <w:p w:rsidR="003C1694" w:rsidRPr="0039641C" w:rsidRDefault="003C1694" w:rsidP="003C1694">
                  <w:r w:rsidRPr="000868FC">
                    <w:rPr>
                      <w:i/>
                    </w:rPr>
                    <w:t>Med «leiested» menes laboratorium eller annen felles infrastruktur hvis driftskostnader synliggjøres særskilt og fordeles forholdsmessig mellom de prosjekter og aktiviteter som anvender infrastrukturen.</w:t>
                  </w:r>
                </w:p>
              </w:txbxContent>
            </v:textbox>
          </v:shape>
        </w:pict>
      </w:r>
    </w:p>
    <w:p w:rsidR="003C1694" w:rsidRDefault="003C1694" w:rsidP="003C1694">
      <w:pPr>
        <w:spacing w:after="0"/>
      </w:pPr>
    </w:p>
    <w:p w:rsidR="003C1694" w:rsidRDefault="003C1694" w:rsidP="003C1694">
      <w:pPr>
        <w:spacing w:after="0"/>
      </w:pPr>
    </w:p>
    <w:p w:rsidR="003C1694" w:rsidRDefault="003C1694" w:rsidP="003C1694">
      <w:pPr>
        <w:spacing w:after="0"/>
      </w:pPr>
    </w:p>
    <w:p w:rsidR="003C1694" w:rsidRDefault="003C1694" w:rsidP="003C1694">
      <w:pPr>
        <w:spacing w:after="0"/>
      </w:pPr>
    </w:p>
    <w:p w:rsidR="003C1694" w:rsidRDefault="003C1694" w:rsidP="003C1694">
      <w:pPr>
        <w:spacing w:after="0"/>
      </w:pPr>
    </w:p>
    <w:p w:rsidR="003C1694" w:rsidRDefault="003C1694" w:rsidP="003C1694">
      <w:pPr>
        <w:spacing w:after="0"/>
      </w:pPr>
      <w:r w:rsidRPr="003F2FFE">
        <w:t xml:space="preserve">Forslaget til leiestedsmodell er utviklet av ei arbeidsgruppe i regi av Universitets- og høgskolerådet. </w:t>
      </w:r>
      <w:r>
        <w:t xml:space="preserve">Gruppa har samarbeidet med flere fagmiljøer ved NTNU, UiB og UiO og hatt uformelle samtaler med Forskningsrådet. </w:t>
      </w:r>
    </w:p>
    <w:p w:rsidR="003C1694" w:rsidRDefault="003C1694" w:rsidP="003C1694">
      <w:pPr>
        <w:spacing w:after="0"/>
      </w:pPr>
    </w:p>
    <w:p w:rsidR="003C1694" w:rsidRDefault="003C1694" w:rsidP="003C1694">
      <w:pPr>
        <w:spacing w:after="0"/>
      </w:pPr>
      <w:r>
        <w:t>Modellen er avhengig av at fagmiljøene selv gjør avgrensninger og definerer omfanget av de enkelte leiesteder i skjæringspunktet mellom styringsbehov og administrativt merarbeid. For øvrig gir modellen i sin enkleste form en timepris som er gitt ved å dividere leiestedets kostnader på leiestedets kapasitet.</w:t>
      </w:r>
    </w:p>
    <w:p w:rsidR="003C1694" w:rsidRDefault="0090266B" w:rsidP="003C1694">
      <w:pPr>
        <w:spacing w:after="0"/>
      </w:pPr>
      <w:r>
        <w:rPr>
          <w:noProof/>
          <w:lang w:eastAsia="zh-CN"/>
        </w:rPr>
        <w:pict>
          <v:group id="Group 14" o:spid="_x0000_s1027" style="position:absolute;margin-left:15.3pt;margin-top:14.85pt;width:156.3pt;height:57.15pt;z-index:251660288;mso-width-relative:margin;mso-height-relative:margin" coordorigin=",3753" coordsize="17056,7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">
            <v:shape id="Text Box 9" o:spid="_x0000_s1028" type="#_x0000_t202" style="position:absolute;top:3753;width:17056;height:72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i7dMMA&#10;AADaAAAADwAAAGRycy9kb3ducmV2LnhtbESPzWrDMBCE74G8g9hAb7HcFprUsWxCwCGX0sTuJbfF&#10;Wv9Qa2UsNXHfvioUehxm5hsmzWcziBtNrres4DGKQRDXVvfcKvioivUWhPPIGgfLpOCbHOTZcpFi&#10;ou2dL3QrfSsChF2CCjrvx0RKV3dk0EV2JA5eYyeDPsiplXrCe4CbQT7F8Ys02HNY6HCkQ0f1Z/ll&#10;FBzPxZt9vpabwR3Zt8VYvTenSqmH1bzfgfA0+//wX/ukFbzC75VwA2T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i7dMMAAADaAAAADwAAAAAAAAAAAAAAAACYAgAAZHJzL2Rv&#10;d25yZXYueG1sUEsFBgAAAAAEAAQA9QAAAIgDAAAAAA==&#10;" fillcolor="#dbe5f1 [660]">
              <v:textbox>
                <w:txbxContent>
                  <w:p w:rsidR="003C1694" w:rsidRPr="00AB5F02" w:rsidRDefault="003C1694" w:rsidP="003C1694">
                    <w:pPr>
                      <w:tabs>
                        <w:tab w:val="left" w:pos="1134"/>
                      </w:tabs>
                    </w:pPr>
                    <w:r w:rsidRPr="00AB5F02">
                      <w:tab/>
                      <w:t xml:space="preserve">           </w:t>
                    </w:r>
                    <w:r w:rsidRPr="00AB5F02">
                      <w:t>Kostnad</w:t>
                    </w:r>
                    <w:r w:rsidRPr="00AB5F02">
                      <w:br/>
                      <w:t xml:space="preserve">Timepris    </w:t>
                    </w:r>
                    <w:r>
                      <w:t xml:space="preserve"> </w:t>
                    </w:r>
                    <w:r w:rsidRPr="00AB5F02">
                      <w:t xml:space="preserve">= </w:t>
                    </w:r>
                    <w:r w:rsidRPr="00AB5F02">
                      <w:br/>
                    </w:r>
                    <w:r w:rsidRPr="00AB5F02">
                      <w:tab/>
                      <w:t xml:space="preserve">           Kapasitet</w:t>
                    </w:r>
                  </w:p>
                </w:txbxContent>
              </v:textbox>
            </v:shape>
            <v:line id="Straight Connector 13" o:spid="_x0000_s1029" style="position:absolute;visibility:visible" from="9484,6957" to="14805,6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e2BCMEAAADbAAAADwAAAGRycy9kb3ducmV2LnhtbERPTYvCMBC9C/6HMIIX0VRXRKpRRBQ8&#10;7lYRj0MzttVmUpuodX/9ZkHwNo/3OfNlY0rxoNoVlhUMBxEI4tTqgjMFh/22PwXhPLLG0jIpeJGD&#10;5aLdmmOs7ZN/6JH4TIQQdjEqyL2vYildmpNBN7AVceDOtjboA6wzqWt8hnBTylEUTaTBgkNDjhWt&#10;c0qvyd0oyNaX3u2UXH7HfrKZ2u34+3g8r5TqdprVDISnxn/Eb/dOh/lf8P9LOEA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7YEIwQAAANsAAAAPAAAAAAAAAAAAAAAA&#10;AKECAABkcnMvZG93bnJldi54bWxQSwUGAAAAAAQABAD5AAAAjwMAAAAA&#10;" strokecolor="windowText"/>
          </v:group>
        </w:pict>
      </w:r>
    </w:p>
    <w:p w:rsidR="003C1694" w:rsidRDefault="003C1694" w:rsidP="003C1694">
      <w:pPr>
        <w:spacing w:after="0"/>
      </w:pPr>
    </w:p>
    <w:p w:rsidR="003C1694" w:rsidRDefault="003C1694" w:rsidP="003C1694">
      <w:pPr>
        <w:spacing w:after="0"/>
      </w:pPr>
    </w:p>
    <w:p w:rsidR="003C1694" w:rsidRDefault="003C1694" w:rsidP="003C1694">
      <w:pPr>
        <w:spacing w:after="0"/>
      </w:pPr>
    </w:p>
    <w:p w:rsidR="003C1694" w:rsidRDefault="003C1694" w:rsidP="003C1694"/>
    <w:p w:rsidR="003C1694" w:rsidRDefault="003C1694" w:rsidP="003C1694">
      <w:r w:rsidRPr="001A7109">
        <w:rPr>
          <w:i/>
        </w:rPr>
        <w:t>Kostnadene</w:t>
      </w:r>
      <w:r>
        <w:t xml:space="preserve"> vedrørende et leiested har fire elementer:</w:t>
      </w:r>
    </w:p>
    <w:p w:rsidR="003C1694" w:rsidRDefault="003C1694" w:rsidP="003C1694">
      <w:pPr>
        <w:pStyle w:val="ListParagraph"/>
        <w:numPr>
          <w:ilvl w:val="0"/>
          <w:numId w:val="1"/>
        </w:numPr>
        <w:ind w:left="426"/>
      </w:pPr>
      <w:r>
        <w:t xml:space="preserve">Areal – antall kvadratmeter priset med aktuell husleie og inkludert driftskostnader (energi, renhold, etc.). </w:t>
      </w:r>
      <w:r>
        <w:lastRenderedPageBreak/>
        <w:t>For selvforvaltende institusjoner tas bygningsavskrivninger med.</w:t>
      </w:r>
    </w:p>
    <w:p w:rsidR="003C1694" w:rsidRDefault="003C1694" w:rsidP="003C1694">
      <w:pPr>
        <w:pStyle w:val="ListParagraph"/>
        <w:numPr>
          <w:ilvl w:val="0"/>
          <w:numId w:val="1"/>
        </w:numPr>
        <w:ind w:left="426"/>
      </w:pPr>
      <w:r>
        <w:t>Vitenskapelig utstyr – avskrivninger.</w:t>
      </w:r>
    </w:p>
    <w:p w:rsidR="003C1694" w:rsidRDefault="003C1694" w:rsidP="003C1694">
      <w:pPr>
        <w:pStyle w:val="ListParagraph"/>
        <w:numPr>
          <w:ilvl w:val="0"/>
          <w:numId w:val="1"/>
        </w:numPr>
        <w:ind w:left="426"/>
      </w:pPr>
      <w:r>
        <w:t>Felles driftsmidler til laboratoriene – kjemikalier, gass, service- og vedlikeholdskontrakter.</w:t>
      </w:r>
    </w:p>
    <w:p w:rsidR="003C1694" w:rsidRDefault="003C1694" w:rsidP="003C1694">
      <w:pPr>
        <w:pStyle w:val="ListParagraph"/>
        <w:numPr>
          <w:ilvl w:val="0"/>
          <w:numId w:val="1"/>
        </w:numPr>
        <w:ind w:left="426"/>
      </w:pPr>
      <w:r>
        <w:t>Teknisk støtte – teknikerårsverk priset med lønnskostnad (inkl. sosiale kostnader) og indirekte arbeidsplasskostnader for teknisk-administrativt personale (ref. TDI-modellen).</w:t>
      </w:r>
    </w:p>
    <w:p w:rsidR="003C1694" w:rsidRDefault="003C1694" w:rsidP="003C1694">
      <w:r w:rsidRPr="001A7109">
        <w:rPr>
          <w:i/>
        </w:rPr>
        <w:t>Kapasiteten</w:t>
      </w:r>
      <w:r>
        <w:t xml:space="preserve"> ved et leiested handler om nevneren i prisbrøken: Hva skal leiestedskostnadene divideres på for å finne timeprisen? </w:t>
      </w:r>
    </w:p>
    <w:p w:rsidR="003C1694" w:rsidRDefault="0090266B" w:rsidP="003C1694">
      <w:r>
        <w:rPr>
          <w:noProof/>
          <w:lang w:eastAsia="zh-CN"/>
        </w:rPr>
      </w:r>
      <w:r>
        <w:rPr>
          <w:noProof/>
          <w:lang w:eastAsia="zh-CN"/>
        </w:rPr>
        <w:pict>
          <v:shape id="Text Box 15" o:spid="_x0000_s1032" type="#_x0000_t202" style="width:209.1pt;height:51.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" fillcolor="#dce6f2">
            <v:textbox>
              <w:txbxContent>
                <w:p w:rsidR="003C1694" w:rsidRPr="00451102" w:rsidRDefault="003C1694" w:rsidP="003C1694">
                  <w:r w:rsidRPr="00451102">
                    <w:t>Et leiesteds kapasitet er lik det antall brukertimer et leiested totalt sett er dimensjonert for i normal driftsfase.</w:t>
                  </w:r>
                </w:p>
                <w:p w:rsidR="003C1694" w:rsidRDefault="003C1694" w:rsidP="003C1694">
                  <w:pPr>
                    <w:rPr>
                      <w:b/>
                    </w:rPr>
                  </w:pPr>
                </w:p>
              </w:txbxContent>
            </v:textbox>
            <w10:wrap type="none"/>
            <w10:anchorlock/>
          </v:shape>
        </w:pict>
      </w:r>
    </w:p>
    <w:p w:rsidR="003C1694" w:rsidRDefault="003C1694" w:rsidP="003C1694">
      <w:r>
        <w:t xml:space="preserve">Definisjonen av kapasitet tar hensyn til at det må utføres service, vedlikehold og feilretting ved et leiested, og at dimensjoneringen av leiestedet handler om </w:t>
      </w:r>
      <w:r w:rsidRPr="00451102">
        <w:rPr>
          <w:i/>
        </w:rPr>
        <w:t>planlagt</w:t>
      </w:r>
      <w:r>
        <w:t xml:space="preserve"> bruk. Den faktiske bruken av et leiested kan avvike fra den planlagte, men manglende leiestedsutnyttelse pga. lav effektivitet kan ikke legges til grunn i nevneren i timeprisbrøken og på den måten gi høyere leiestedspris.</w:t>
      </w:r>
    </w:p>
    <w:p w:rsidR="003C1694" w:rsidRDefault="003C1694" w:rsidP="003C1694">
      <w:r>
        <w:t>Utformingen av leiestedsmodellen bygger deretter på følgende enkle prinsipp:</w:t>
      </w:r>
      <w:r w:rsidRPr="008B3060">
        <w:rPr>
          <w:noProof/>
          <w:lang w:eastAsia="nb-NO"/>
        </w:rPr>
        <w:t xml:space="preserve"> </w:t>
      </w:r>
    </w:p>
    <w:p w:rsidR="003C1694" w:rsidRDefault="0090266B" w:rsidP="003C1694">
      <w:r>
        <w:rPr>
          <w:noProof/>
          <w:lang w:eastAsia="zh-CN"/>
        </w:rPr>
        <w:pict>
          <v:shape id="_x0000_s1031" type="#_x0000_t202" style="position:absolute;margin-left:.35pt;margin-top:.35pt;width:198.3pt;height:55.1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" fillcolor="#dce6f2">
            <v:textbox>
              <w:txbxContent>
                <w:p w:rsidR="003C1694" w:rsidRPr="00AB5F02" w:rsidRDefault="003C1694" w:rsidP="003C1694">
                  <w:r w:rsidRPr="00AB5F02">
                    <w:t>Fast inngangspris som gir tilgang</w:t>
                  </w:r>
                  <w:r>
                    <w:t xml:space="preserve"> til det meste, tilleggspris</w:t>
                  </w:r>
                  <w:r w:rsidRPr="00AB5F02">
                    <w:t xml:space="preserve"> </w:t>
                  </w:r>
                  <w:r>
                    <w:t xml:space="preserve">kun </w:t>
                  </w:r>
                  <w:r w:rsidRPr="00AB5F02">
                    <w:t>for spesielle utstyrsenheter og tjenester.</w:t>
                  </w:r>
                </w:p>
                <w:p w:rsidR="003C1694" w:rsidRPr="00AB5F02" w:rsidRDefault="003C1694" w:rsidP="003C1694"/>
              </w:txbxContent>
            </v:textbox>
          </v:shape>
        </w:pict>
      </w:r>
    </w:p>
    <w:p w:rsidR="003C1694" w:rsidRDefault="003C1694" w:rsidP="003C1694"/>
    <w:p w:rsidR="003C1694" w:rsidRDefault="003C1694" w:rsidP="003C1694"/>
    <w:p w:rsidR="003C1694" w:rsidRDefault="003C1694" w:rsidP="003C1694">
      <w:r>
        <w:t xml:space="preserve">I mange tilfeller kan prinsippet om én fast inngangspris gjøres gjeldende for hele leiestedet. Spesielt kostbare utstyrskomponenter og/eller behov for teknikertjenester i forbindelse med </w:t>
      </w:r>
      <w:r>
        <w:lastRenderedPageBreak/>
        <w:t xml:space="preserve">gjennomføring av eksperimenter vil imidlertid kunne gi behov for tilleggsprising. Da er det inngangspris </w:t>
      </w:r>
      <w:r w:rsidRPr="00600E3E">
        <w:rPr>
          <w:i/>
        </w:rPr>
        <w:t>pluss</w:t>
      </w:r>
      <w:r>
        <w:t xml:space="preserve"> tilleggspris som er aktuelt.</w:t>
      </w:r>
    </w:p>
    <w:p w:rsidR="003C1694" w:rsidRDefault="003C1694" w:rsidP="003C1694">
      <w:r>
        <w:t>Leiestedsaktivitet må dokumenteres – enten gjennom aktiv loggføring av aktiviteten eller ved skjønnsmessige anslag.</w:t>
      </w:r>
    </w:p>
    <w:p w:rsidR="003C1694" w:rsidRDefault="003C1694" w:rsidP="003C1694">
      <w:pPr>
        <w:pStyle w:val="Heading4"/>
      </w:pPr>
      <w:r>
        <w:t>Anbefalinger</w:t>
      </w:r>
    </w:p>
    <w:p w:rsidR="003C1694" w:rsidRDefault="003C1694" w:rsidP="003C1694">
      <w:r>
        <w:t xml:space="preserve">Den forslåtte leiestedsmodellen er fleksibel og kan tilpasses ulike typer fagmiljøer. Det innebærer at fagmiljøene selv må ta et betydelig ansvar når det gjelder å utforme modellen helt konkret i egen virksomhet. Mange av vurderingene som skal gjøres, krever et ikke ubetydelig skjønn. Denne skjønnsutøvelsen må dokumenteres. Utøvelse av skjønn indikerer også at det er en lite farbar vei å streve etter stor grad av nøyaktighet i alle typer beregninger. Vi anbefaler generelt at god </w:t>
      </w:r>
      <w:r w:rsidRPr="009576BC">
        <w:rPr>
          <w:i/>
        </w:rPr>
        <w:t>nok</w:t>
      </w:r>
      <w:r>
        <w:t xml:space="preserve"> nøyaktighet sett i sammenheng med formålet (prioritere intern ressursbruk og sikre eksterne inntekter) blir det styrende prinsippet.</w:t>
      </w:r>
    </w:p>
    <w:p w:rsidR="003C1694" w:rsidRPr="0039641C" w:rsidRDefault="003C1694" w:rsidP="003C1694">
      <w:r>
        <w:t xml:space="preserve">Bruk av leiested koster det samme for alle brukere uavhengig om det sendes faktura til prosjektet eller om tjenesten dekkes av institusjonen.  Ingen bruk er gratis, det er bare kildene til finansiering som er forskjellig. </w:t>
      </w:r>
      <w:r w:rsidRPr="00E7381D">
        <w:t>Institusjonene kan bidra til en smidig implementering av leiestedmodellen ved å holde transaksjonskostnadene for internfinansiert aktivitet på et minimumsnivå</w:t>
      </w:r>
      <w:r>
        <w:t xml:space="preserve"> ved at betaling for bruk av leiested i utgangspunktet bare gjøres gjeldende for eksternt finansiert prosjekter eller andre eksterne brukere. Leiestedsmodellen legger ingen føringer på at interne brukere, dvs. egne ansatte som gjør bruk av laboratoriet i undervisnings-/forskningsøyemed innenfor ordinær bevilgning, skal faktureres. </w:t>
      </w:r>
    </w:p>
    <w:p w:rsidR="003C1694" w:rsidRDefault="003C1694" w:rsidP="003C1694">
      <w:r>
        <w:t xml:space="preserve">Kontakten med fagmiljøene i forbindelse med utviklingen av leiestedsmodellen indikerer at den foreslåtte leiestedsmodellen inneholder </w:t>
      </w:r>
      <w:r>
        <w:lastRenderedPageBreak/>
        <w:t>de riktige momentene og at arbeidet med å framskaffe leiestedspriser er overkommelig mange steder. Det er likevel ingen grunn til å underslå at arbeidet med modellen har pekt på utfordringer. Vi grupperer disse utfordringene i to – interne forhold og samarbeid:</w:t>
      </w:r>
    </w:p>
    <w:p w:rsidR="003C1694" w:rsidRDefault="003C1694" w:rsidP="003C1694">
      <w:pPr>
        <w:pStyle w:val="ListParagraph"/>
        <w:numPr>
          <w:ilvl w:val="0"/>
          <w:numId w:val="3"/>
        </w:numPr>
        <w:ind w:left="426"/>
      </w:pPr>
      <w:r w:rsidRPr="00B47E24">
        <w:rPr>
          <w:b/>
          <w:i/>
        </w:rPr>
        <w:t>Interne forhold</w:t>
      </w:r>
    </w:p>
    <w:p w:rsidR="003C1694" w:rsidRDefault="003C1694" w:rsidP="003C1694">
      <w:pPr>
        <w:pStyle w:val="ListParagraph"/>
        <w:numPr>
          <w:ilvl w:val="1"/>
          <w:numId w:val="3"/>
        </w:numPr>
        <w:ind w:left="709"/>
      </w:pPr>
      <w:r>
        <w:t>Prising av leiestedsaktivitet må ikke utformes slik at eksperimentell aktivitet reduseres. Modellen i seg selv synliggjør ressursbruk. Slik synliggjøring er med på å skape et grunnlag for prioriteringsdiskusjoner, men det er de faglige prioriteringene og diskusjonene om dem, som må stå i sentrum.</w:t>
      </w:r>
    </w:p>
    <w:p w:rsidR="003C1694" w:rsidRDefault="003C1694" w:rsidP="003C1694">
      <w:pPr>
        <w:pStyle w:val="ListParagraph"/>
        <w:numPr>
          <w:ilvl w:val="1"/>
          <w:numId w:val="3"/>
        </w:numPr>
        <w:ind w:left="709"/>
      </w:pPr>
      <w:r>
        <w:t xml:space="preserve">Synliggjøringen av ressursbruk knyttet til forskningsinfrastruktur bidrar også til å utfordre et tradisjonelt syn på hvem som disponerer de eksterne inntektene. Disse må i større grad forstås som inntekter til et faglig fellesskap. Det innebærer videre at viljen til å styrke det faglige fellesskapet må synliggjøres i prosjektbudsjettene. I denne sammenhengen kan man også se arbeidsgruppas anbefaling om at </w:t>
      </w:r>
      <w:r w:rsidRPr="00E7381D">
        <w:t>Forskningsrådet kan bidra til at totalkostnadsmodellen og leiestedsmodellen tas i bruk fullt ut, ved at rammene for prosjektfinansiering baseres på et antall stillinger/timer med tilhørende leiestedskostnader, i stedet for et kronebeløp.</w:t>
      </w:r>
    </w:p>
    <w:p w:rsidR="003C1694" w:rsidRDefault="003C1694" w:rsidP="003C1694">
      <w:pPr>
        <w:pStyle w:val="ListParagraph"/>
        <w:numPr>
          <w:ilvl w:val="1"/>
          <w:numId w:val="3"/>
        </w:numPr>
        <w:ind w:left="709"/>
      </w:pPr>
      <w:r>
        <w:t xml:space="preserve">Totalkostnadsmodellen generelt, og leiestedsmodellen, innebærer at mange ulike typer kostnader legges til grunn for prosjektinntektene. Målet er økt handlingsrom, men </w:t>
      </w:r>
      <w:r w:rsidRPr="00B47E24">
        <w:rPr>
          <w:i/>
        </w:rPr>
        <w:t>hvem</w:t>
      </w:r>
      <w:r>
        <w:t xml:space="preserve"> som skal disponere det økte handlingsrommet </w:t>
      </w:r>
      <w:r>
        <w:lastRenderedPageBreak/>
        <w:t>kan være gjenstand for ulke vurderinger i den enkelte institusjon.</w:t>
      </w:r>
    </w:p>
    <w:p w:rsidR="003C1694" w:rsidRDefault="003C1694" w:rsidP="003C1694">
      <w:pPr>
        <w:pStyle w:val="ListParagraph"/>
        <w:numPr>
          <w:ilvl w:val="1"/>
          <w:numId w:val="3"/>
        </w:numPr>
        <w:ind w:left="709"/>
      </w:pPr>
      <w:r>
        <w:t xml:space="preserve">Leiestedsmodellen inviterer til prising av eksisterende infrastruktur. Det flytter fokus </w:t>
      </w:r>
      <w:r w:rsidRPr="00B47E24">
        <w:rPr>
          <w:i/>
        </w:rPr>
        <w:t>fra</w:t>
      </w:r>
      <w:r>
        <w:t xml:space="preserve"> investeringer på grunnlag av oppsparte midler </w:t>
      </w:r>
      <w:r w:rsidRPr="00B47E24">
        <w:rPr>
          <w:i/>
        </w:rPr>
        <w:t>til</w:t>
      </w:r>
      <w:r>
        <w:t xml:space="preserve"> investeringer i forventning om framtidige inntekter. Håndtering av økt risiko krever tydeligere faglige prioriteringer og interne mekanismer som gjør risikoen akseptabel i det enkelte fagmiljø.</w:t>
      </w:r>
      <w:r>
        <w:br/>
      </w:r>
    </w:p>
    <w:p w:rsidR="003C1694" w:rsidRDefault="003C1694" w:rsidP="003C1694">
      <w:pPr>
        <w:pStyle w:val="ListParagraph"/>
        <w:numPr>
          <w:ilvl w:val="0"/>
          <w:numId w:val="3"/>
        </w:numPr>
        <w:ind w:left="426"/>
      </w:pPr>
      <w:r>
        <w:rPr>
          <w:b/>
          <w:i/>
        </w:rPr>
        <w:t>Samarbeid</w:t>
      </w:r>
      <w:r>
        <w:rPr>
          <w:b/>
          <w:i/>
        </w:rPr>
        <w:br/>
      </w:r>
      <w:r w:rsidRPr="00B47E24">
        <w:t>Ekste</w:t>
      </w:r>
      <w:r>
        <w:t>rnt finansierte forskningsprosjekter generelt øker i omfang og kompleksitet og innebærer ofte samarbeid over organisasjonsgrenser. Det gjelder ikke minst i samarbeid om nasjonale forskningsinfrastrukturer. Når universiteter og høyskoler skal samarbeide seg imellom og med forskningsinstitutter, sykehus, etc. melder det seg en rekke utfordringer knyttet til regelverk omkring statsstøtte, merverdiavgift og markedstilpasninger. Arbeidsgruppa anbefaler spesielt et videre fokus på følgende problemstillinger:</w:t>
      </w:r>
      <w:r>
        <w:br/>
      </w:r>
    </w:p>
    <w:p w:rsidR="003C1694" w:rsidRDefault="003C1694" w:rsidP="003C1694">
      <w:pPr>
        <w:pStyle w:val="ListParagraph"/>
        <w:numPr>
          <w:ilvl w:val="0"/>
          <w:numId w:val="4"/>
        </w:numPr>
      </w:pPr>
      <w:r>
        <w:rPr>
          <w:szCs w:val="23"/>
        </w:rPr>
        <w:t xml:space="preserve">Hvis en prosjektansvarlig engasjerer en underleverandør til gjennomføring av enkelte oppgaver i et prosjekt, kan dette medføre en klassifisering av aktiviteten som et rent oppdrag som bl.a. utløser mva.-beregning. </w:t>
      </w:r>
      <w:r>
        <w:t>Universitets- og høgskolerådet (UHR) bør</w:t>
      </w:r>
      <w:r w:rsidRPr="00B47E24">
        <w:t xml:space="preserve"> sammen med Forskningsinstituttenes fellesarena</w:t>
      </w:r>
      <w:r>
        <w:t xml:space="preserve"> (FFA) ta</w:t>
      </w:r>
      <w:r w:rsidRPr="00B47E24">
        <w:t xml:space="preserve"> opp problemstillingene knyttet til underleverandørforhold og bruk av forskningsinfrastruktur med Kunnskapsdepartementet og Forskningsrådet.</w:t>
      </w:r>
      <w:r>
        <w:t xml:space="preserve"> Moms på samarbeid bør unngås.</w:t>
      </w:r>
    </w:p>
    <w:p w:rsidR="003C1694" w:rsidRPr="003C1694" w:rsidRDefault="003C1694" w:rsidP="003C1694">
      <w:pPr>
        <w:pStyle w:val="ListParagraph"/>
        <w:numPr>
          <w:ilvl w:val="0"/>
          <w:numId w:val="4"/>
        </w:numPr>
        <w:rPr>
          <w:sz w:val="24"/>
        </w:rPr>
        <w:sectPr w:rsidR="003C1694" w:rsidRPr="003C1694" w:rsidSect="00D80590">
          <w:type w:val="continuous"/>
          <w:pgSz w:w="11906" w:h="16838"/>
          <w:pgMar w:top="1417" w:right="1417" w:bottom="1417" w:left="1417" w:header="708" w:footer="708" w:gutter="0"/>
          <w:cols w:num="2" w:space="708"/>
          <w:docGrid w:linePitch="360"/>
        </w:sectPr>
      </w:pPr>
      <w:r w:rsidRPr="00B47E24">
        <w:lastRenderedPageBreak/>
        <w:t>Arbeidsgruppen tolker regelverket fra Kunnskapsdepartementet og EØS dit hen at institusjonene i UoH-sektoren ikke kan operere med markedspriser som er lavere enn oppdragsprisen beregnet i leiestedmodellen.  Hvis denne forståelsen er mangelfull, bør UHR be Kunnskapsdepartementet klargjøre reglene for bruk av markedspris på leiestedstjen</w:t>
      </w:r>
      <w:r w:rsidR="003F2FFE">
        <w:t>ester</w:t>
      </w:r>
    </w:p>
    <w:p w:rsidR="00A37D59" w:rsidRDefault="00A37D59" w:rsidP="003C1694"/>
    <w:sectPr w:rsidR="00A37D59" w:rsidSect="009026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41A" w:rsidRDefault="00E1441A" w:rsidP="000D27E1">
      <w:pPr>
        <w:spacing w:after="0" w:line="240" w:lineRule="auto"/>
      </w:pPr>
      <w:r>
        <w:separator/>
      </w:r>
    </w:p>
  </w:endnote>
  <w:endnote w:type="continuationSeparator" w:id="0">
    <w:p w:rsidR="00E1441A" w:rsidRDefault="00E1441A" w:rsidP="000D27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7E1" w:rsidRDefault="000D27E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7E1" w:rsidRDefault="000D27E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7E1" w:rsidRDefault="000D27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41A" w:rsidRDefault="00E1441A" w:rsidP="000D27E1">
      <w:pPr>
        <w:spacing w:after="0" w:line="240" w:lineRule="auto"/>
      </w:pPr>
      <w:r>
        <w:separator/>
      </w:r>
    </w:p>
  </w:footnote>
  <w:footnote w:type="continuationSeparator" w:id="0">
    <w:p w:rsidR="00E1441A" w:rsidRDefault="00E1441A" w:rsidP="000D27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7E1" w:rsidRDefault="000D27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3090881"/>
      <w:docPartObj>
        <w:docPartGallery w:val="Watermarks"/>
        <w:docPartUnique/>
      </w:docPartObj>
    </w:sdtPr>
    <w:sdtContent>
      <w:p w:rsidR="000D27E1" w:rsidRDefault="0090266B">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UTKAS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7E1" w:rsidRDefault="000D27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21D7C"/>
    <w:multiLevelType w:val="hybridMultilevel"/>
    <w:tmpl w:val="C4A0B90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0EB56820"/>
    <w:multiLevelType w:val="hybridMultilevel"/>
    <w:tmpl w:val="A4B40BA8"/>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52D86906"/>
    <w:multiLevelType w:val="hybridMultilevel"/>
    <w:tmpl w:val="6284DBB0"/>
    <w:lvl w:ilvl="0" w:tplc="7F4047F6">
      <w:start w:val="1"/>
      <w:numFmt w:val="lowerLetter"/>
      <w:lvlText w:val="%1)"/>
      <w:lvlJc w:val="left"/>
      <w:pPr>
        <w:ind w:left="720" w:hanging="360"/>
      </w:pPr>
      <w:rPr>
        <w:rFonts w:hint="default"/>
        <w:sz w:val="22"/>
      </w:rPr>
    </w:lvl>
    <w:lvl w:ilvl="1" w:tplc="0414000D">
      <w:start w:val="1"/>
      <w:numFmt w:val="bullet"/>
      <w:lvlText w:val=""/>
      <w:lvlJc w:val="left"/>
      <w:pPr>
        <w:ind w:left="1440" w:hanging="360"/>
      </w:pPr>
      <w:rPr>
        <w:rFonts w:ascii="Wingdings" w:hAnsi="Wingdings"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7CCD16AF"/>
    <w:multiLevelType w:val="hybridMultilevel"/>
    <w:tmpl w:val="2230172A"/>
    <w:lvl w:ilvl="0" w:tplc="04140001">
      <w:start w:val="1"/>
      <w:numFmt w:val="bullet"/>
      <w:lvlText w:val=""/>
      <w:lvlJc w:val="left"/>
      <w:pPr>
        <w:ind w:left="720" w:hanging="360"/>
      </w:pPr>
      <w:rPr>
        <w:rFonts w:ascii="Symbol" w:hAnsi="Symbol" w:hint="default"/>
      </w:rPr>
    </w:lvl>
    <w:lvl w:ilvl="1" w:tplc="0414000D">
      <w:start w:val="1"/>
      <w:numFmt w:val="bullet"/>
      <w:lvlText w:val=""/>
      <w:lvlJc w:val="left"/>
      <w:pPr>
        <w:ind w:left="1440" w:hanging="360"/>
      </w:pPr>
      <w:rPr>
        <w:rFonts w:ascii="Wingdings" w:hAnsi="Wingdings"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autoHyphenation/>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3C1694"/>
    <w:rsid w:val="000D27E1"/>
    <w:rsid w:val="003C1694"/>
    <w:rsid w:val="003F2FFE"/>
    <w:rsid w:val="007C332C"/>
    <w:rsid w:val="0090266B"/>
    <w:rsid w:val="00A37D59"/>
    <w:rsid w:val="00E1441A"/>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694"/>
  </w:style>
  <w:style w:type="paragraph" w:styleId="Heading1">
    <w:name w:val="heading 1"/>
    <w:basedOn w:val="Normal"/>
    <w:next w:val="Normal"/>
    <w:link w:val="Heading1Char"/>
    <w:uiPriority w:val="9"/>
    <w:qFormat/>
    <w:rsid w:val="003C16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unhideWhenUsed/>
    <w:qFormat/>
    <w:rsid w:val="003C169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694"/>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3C1694"/>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3C1694"/>
    <w:pPr>
      <w:ind w:left="720"/>
      <w:contextualSpacing/>
    </w:pPr>
  </w:style>
  <w:style w:type="paragraph" w:styleId="BalloonText">
    <w:name w:val="Balloon Text"/>
    <w:basedOn w:val="Normal"/>
    <w:link w:val="BalloonTextChar"/>
    <w:uiPriority w:val="99"/>
    <w:semiHidden/>
    <w:unhideWhenUsed/>
    <w:rsid w:val="003F2F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FFE"/>
    <w:rPr>
      <w:rFonts w:ascii="Tahoma" w:hAnsi="Tahoma" w:cs="Tahoma"/>
      <w:sz w:val="16"/>
      <w:szCs w:val="16"/>
    </w:rPr>
  </w:style>
  <w:style w:type="paragraph" w:styleId="Header">
    <w:name w:val="header"/>
    <w:basedOn w:val="Normal"/>
    <w:link w:val="HeaderChar"/>
    <w:uiPriority w:val="99"/>
    <w:unhideWhenUsed/>
    <w:rsid w:val="000D27E1"/>
    <w:pPr>
      <w:tabs>
        <w:tab w:val="center" w:pos="4536"/>
        <w:tab w:val="right" w:pos="9072"/>
      </w:tabs>
      <w:spacing w:after="0" w:line="240" w:lineRule="auto"/>
    </w:pPr>
  </w:style>
  <w:style w:type="character" w:customStyle="1" w:styleId="HeaderChar">
    <w:name w:val="Header Char"/>
    <w:basedOn w:val="DefaultParagraphFont"/>
    <w:link w:val="Header"/>
    <w:uiPriority w:val="99"/>
    <w:rsid w:val="000D27E1"/>
  </w:style>
  <w:style w:type="paragraph" w:styleId="Footer">
    <w:name w:val="footer"/>
    <w:basedOn w:val="Normal"/>
    <w:link w:val="FooterChar"/>
    <w:uiPriority w:val="99"/>
    <w:unhideWhenUsed/>
    <w:rsid w:val="000D27E1"/>
    <w:pPr>
      <w:tabs>
        <w:tab w:val="center" w:pos="4536"/>
        <w:tab w:val="right" w:pos="9072"/>
      </w:tabs>
      <w:spacing w:after="0" w:line="240" w:lineRule="auto"/>
    </w:pPr>
  </w:style>
  <w:style w:type="character" w:customStyle="1" w:styleId="FooterChar">
    <w:name w:val="Footer Char"/>
    <w:basedOn w:val="DefaultParagraphFont"/>
    <w:link w:val="Footer"/>
    <w:uiPriority w:val="99"/>
    <w:rsid w:val="000D27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694"/>
  </w:style>
  <w:style w:type="paragraph" w:styleId="Heading1">
    <w:name w:val="heading 1"/>
    <w:basedOn w:val="Normal"/>
    <w:next w:val="Normal"/>
    <w:link w:val="Heading1Char"/>
    <w:uiPriority w:val="9"/>
    <w:qFormat/>
    <w:rsid w:val="003C16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unhideWhenUsed/>
    <w:qFormat/>
    <w:rsid w:val="003C169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694"/>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3C1694"/>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3C1694"/>
    <w:pPr>
      <w:ind w:left="720"/>
      <w:contextualSpacing/>
    </w:pPr>
  </w:style>
  <w:style w:type="paragraph" w:styleId="BalloonText">
    <w:name w:val="Balloon Text"/>
    <w:basedOn w:val="Normal"/>
    <w:link w:val="BalloonTextChar"/>
    <w:uiPriority w:val="99"/>
    <w:semiHidden/>
    <w:unhideWhenUsed/>
    <w:rsid w:val="003F2F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FFE"/>
    <w:rPr>
      <w:rFonts w:ascii="Tahoma" w:hAnsi="Tahoma" w:cs="Tahoma"/>
      <w:sz w:val="16"/>
      <w:szCs w:val="16"/>
    </w:rPr>
  </w:style>
  <w:style w:type="paragraph" w:styleId="Header">
    <w:name w:val="header"/>
    <w:basedOn w:val="Normal"/>
    <w:link w:val="HeaderChar"/>
    <w:uiPriority w:val="99"/>
    <w:unhideWhenUsed/>
    <w:rsid w:val="000D27E1"/>
    <w:pPr>
      <w:tabs>
        <w:tab w:val="center" w:pos="4536"/>
        <w:tab w:val="right" w:pos="9072"/>
      </w:tabs>
      <w:spacing w:after="0" w:line="240" w:lineRule="auto"/>
    </w:pPr>
  </w:style>
  <w:style w:type="character" w:customStyle="1" w:styleId="HeaderChar">
    <w:name w:val="Header Char"/>
    <w:basedOn w:val="DefaultParagraphFont"/>
    <w:link w:val="Header"/>
    <w:uiPriority w:val="99"/>
    <w:rsid w:val="000D27E1"/>
  </w:style>
  <w:style w:type="paragraph" w:styleId="Footer">
    <w:name w:val="footer"/>
    <w:basedOn w:val="Normal"/>
    <w:link w:val="FooterChar"/>
    <w:uiPriority w:val="99"/>
    <w:unhideWhenUsed/>
    <w:rsid w:val="000D27E1"/>
    <w:pPr>
      <w:tabs>
        <w:tab w:val="center" w:pos="4536"/>
        <w:tab w:val="right" w:pos="9072"/>
      </w:tabs>
      <w:spacing w:after="0" w:line="240" w:lineRule="auto"/>
    </w:pPr>
  </w:style>
  <w:style w:type="character" w:customStyle="1" w:styleId="FooterChar">
    <w:name w:val="Footer Char"/>
    <w:basedOn w:val="DefaultParagraphFont"/>
    <w:link w:val="Footer"/>
    <w:uiPriority w:val="99"/>
    <w:rsid w:val="000D27E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1385</Words>
  <Characters>7341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Oslo</Company>
  <LinksUpToDate>false</LinksUpToDate>
  <CharactersWithSpaces>8709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perhei</dc:creator>
  <cp:lastModifiedBy>janth</cp:lastModifiedBy>
  <cp:revision>2</cp:revision>
  <cp:lastPrinted>2013-09-23T07:00:00Z</cp:lastPrinted>
  <dcterms:created xsi:type="dcterms:W3CDTF">2013-09-24T17:00:00Z</dcterms:created>
  <dcterms:modified xsi:type="dcterms:W3CDTF">2013-09-24T17:00:00Z</dcterms:modified>
</cp:coreProperties>
</file>