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9" w:type="dxa"/>
        <w:tblBorders>
          <w:bottom w:val="single" w:sz="4" w:space="0" w:color="auto"/>
        </w:tblBorders>
        <w:tblLook w:val="04A0" w:firstRow="1" w:lastRow="0" w:firstColumn="1" w:lastColumn="0" w:noHBand="0" w:noVBand="1"/>
      </w:tblPr>
      <w:tblGrid>
        <w:gridCol w:w="2268"/>
        <w:gridCol w:w="1680"/>
        <w:gridCol w:w="1560"/>
        <w:gridCol w:w="1800"/>
        <w:gridCol w:w="1163"/>
        <w:gridCol w:w="1098"/>
      </w:tblGrid>
      <w:tr w:rsidR="00CA4D29" w14:paraId="46903CE3" w14:textId="77777777" w:rsidTr="008957C1">
        <w:tc>
          <w:tcPr>
            <w:tcW w:w="2268" w:type="dxa"/>
            <w:tcBorders>
              <w:top w:val="nil"/>
              <w:left w:val="nil"/>
              <w:bottom w:val="single" w:sz="4" w:space="0" w:color="auto"/>
              <w:right w:val="nil"/>
            </w:tcBorders>
            <w:hideMark/>
          </w:tcPr>
          <w:p w14:paraId="6D48C19A" w14:textId="77777777" w:rsidR="00CA4D29" w:rsidRPr="00FC4B2B" w:rsidRDefault="00CA4D29" w:rsidP="008957C1">
            <w:pPr>
              <w:spacing w:after="0"/>
              <w:rPr>
                <w:rFonts w:ascii="Arial" w:hAnsi="Arial" w:cs="Arial"/>
                <w:b/>
                <w:bCs/>
                <w:sz w:val="16"/>
              </w:rPr>
            </w:pPr>
            <w:r w:rsidRPr="00FC4B2B">
              <w:rPr>
                <w:rFonts w:ascii="Arial" w:hAnsi="Arial" w:cs="Arial"/>
                <w:b/>
                <w:bCs/>
                <w:sz w:val="16"/>
              </w:rPr>
              <w:t>Rapporterende enhet:</w:t>
            </w:r>
          </w:p>
        </w:tc>
        <w:tc>
          <w:tcPr>
            <w:tcW w:w="1680" w:type="dxa"/>
            <w:tcBorders>
              <w:top w:val="nil"/>
              <w:left w:val="nil"/>
              <w:bottom w:val="single" w:sz="4" w:space="0" w:color="auto"/>
              <w:right w:val="nil"/>
            </w:tcBorders>
          </w:tcPr>
          <w:p w14:paraId="1B3815F4" w14:textId="77777777" w:rsidR="00CA4D29" w:rsidRPr="00FC4B2B" w:rsidRDefault="00CA4D29" w:rsidP="008957C1">
            <w:pPr>
              <w:spacing w:after="0"/>
              <w:rPr>
                <w:rFonts w:ascii="Arial" w:hAnsi="Arial" w:cs="Arial"/>
                <w:b/>
                <w:bCs/>
                <w:sz w:val="16"/>
              </w:rPr>
            </w:pPr>
          </w:p>
        </w:tc>
        <w:tc>
          <w:tcPr>
            <w:tcW w:w="1560" w:type="dxa"/>
            <w:tcBorders>
              <w:top w:val="nil"/>
              <w:left w:val="nil"/>
              <w:bottom w:val="single" w:sz="4" w:space="0" w:color="auto"/>
              <w:right w:val="nil"/>
            </w:tcBorders>
            <w:hideMark/>
          </w:tcPr>
          <w:p w14:paraId="51AEDF6C" w14:textId="77777777" w:rsidR="00CA4D29" w:rsidRPr="00FC4B2B" w:rsidRDefault="00CA4D29" w:rsidP="008957C1">
            <w:pPr>
              <w:spacing w:after="0"/>
              <w:rPr>
                <w:rFonts w:ascii="Arial" w:hAnsi="Arial" w:cs="Arial"/>
                <w:b/>
                <w:bCs/>
                <w:sz w:val="16"/>
              </w:rPr>
            </w:pPr>
            <w:r w:rsidRPr="00FC4B2B">
              <w:rPr>
                <w:rFonts w:ascii="Arial" w:hAnsi="Arial" w:cs="Arial"/>
                <w:b/>
                <w:bCs/>
                <w:sz w:val="16"/>
              </w:rPr>
              <w:t>Rapportert av:</w:t>
            </w:r>
          </w:p>
        </w:tc>
        <w:tc>
          <w:tcPr>
            <w:tcW w:w="1800" w:type="dxa"/>
            <w:tcBorders>
              <w:top w:val="nil"/>
              <w:left w:val="nil"/>
              <w:bottom w:val="single" w:sz="4" w:space="0" w:color="auto"/>
              <w:right w:val="nil"/>
            </w:tcBorders>
          </w:tcPr>
          <w:p w14:paraId="3CBE0B66" w14:textId="77777777" w:rsidR="00CA4D29" w:rsidRPr="00FC4B2B" w:rsidRDefault="00CA4D29" w:rsidP="008957C1">
            <w:pPr>
              <w:spacing w:after="0"/>
              <w:rPr>
                <w:rFonts w:ascii="Arial" w:hAnsi="Arial" w:cs="Arial"/>
                <w:b/>
                <w:bCs/>
                <w:sz w:val="16"/>
              </w:rPr>
            </w:pPr>
          </w:p>
        </w:tc>
        <w:tc>
          <w:tcPr>
            <w:tcW w:w="1163" w:type="dxa"/>
            <w:tcBorders>
              <w:top w:val="nil"/>
              <w:left w:val="nil"/>
              <w:bottom w:val="single" w:sz="4" w:space="0" w:color="auto"/>
              <w:right w:val="nil"/>
            </w:tcBorders>
            <w:hideMark/>
          </w:tcPr>
          <w:p w14:paraId="61C827BD" w14:textId="77777777" w:rsidR="00CA4D29" w:rsidRPr="00FC4B2B" w:rsidRDefault="00CA4D29" w:rsidP="008957C1">
            <w:pPr>
              <w:spacing w:after="0"/>
              <w:rPr>
                <w:rFonts w:ascii="Arial" w:hAnsi="Arial" w:cs="Arial"/>
                <w:b/>
                <w:bCs/>
                <w:sz w:val="16"/>
              </w:rPr>
            </w:pPr>
            <w:r w:rsidRPr="00FC4B2B">
              <w:rPr>
                <w:rFonts w:ascii="Arial" w:hAnsi="Arial" w:cs="Arial"/>
                <w:b/>
                <w:bCs/>
                <w:sz w:val="16"/>
              </w:rPr>
              <w:t xml:space="preserve">Periode: </w:t>
            </w:r>
          </w:p>
          <w:p w14:paraId="56A955C6" w14:textId="3032704D" w:rsidR="00CA4D29" w:rsidRPr="00FC4B2B" w:rsidRDefault="00CA4D29" w:rsidP="008957C1">
            <w:pPr>
              <w:spacing w:after="0"/>
              <w:rPr>
                <w:rFonts w:ascii="Arial" w:hAnsi="Arial" w:cs="Arial"/>
                <w:b/>
                <w:bCs/>
                <w:sz w:val="16"/>
              </w:rPr>
            </w:pPr>
            <w:r w:rsidRPr="00FC4B2B">
              <w:rPr>
                <w:rFonts w:ascii="Arial" w:hAnsi="Arial" w:cs="Arial"/>
                <w:b/>
                <w:bCs/>
                <w:sz w:val="16"/>
              </w:rPr>
              <w:t>T</w:t>
            </w:r>
            <w:r w:rsidR="00035177">
              <w:rPr>
                <w:rFonts w:ascii="Arial" w:hAnsi="Arial" w:cs="Arial"/>
                <w:b/>
                <w:bCs/>
                <w:sz w:val="16"/>
              </w:rPr>
              <w:t>2</w:t>
            </w:r>
            <w:r w:rsidRPr="00FC4B2B">
              <w:rPr>
                <w:rFonts w:ascii="Arial" w:hAnsi="Arial" w:cs="Arial"/>
                <w:b/>
                <w:bCs/>
                <w:sz w:val="16"/>
              </w:rPr>
              <w:t xml:space="preserve"> - 202</w:t>
            </w:r>
            <w:r>
              <w:rPr>
                <w:rFonts w:ascii="Arial" w:hAnsi="Arial" w:cs="Arial"/>
                <w:b/>
                <w:bCs/>
                <w:sz w:val="16"/>
              </w:rPr>
              <w:t>4</w:t>
            </w:r>
          </w:p>
        </w:tc>
        <w:tc>
          <w:tcPr>
            <w:tcW w:w="1098" w:type="dxa"/>
            <w:tcBorders>
              <w:top w:val="nil"/>
              <w:left w:val="nil"/>
              <w:bottom w:val="single" w:sz="4" w:space="0" w:color="auto"/>
              <w:right w:val="nil"/>
            </w:tcBorders>
          </w:tcPr>
          <w:p w14:paraId="394C7E26" w14:textId="77777777" w:rsidR="00CA4D29" w:rsidRDefault="00CA4D29" w:rsidP="008957C1">
            <w:pPr>
              <w:spacing w:after="0"/>
              <w:rPr>
                <w:rFonts w:ascii="Georgia" w:hAnsi="Georgia"/>
                <w:b/>
                <w:bCs/>
                <w:color w:val="365F91"/>
                <w:sz w:val="16"/>
              </w:rPr>
            </w:pPr>
          </w:p>
        </w:tc>
      </w:tr>
    </w:tbl>
    <w:p w14:paraId="267CBC70" w14:textId="120CBDD5" w:rsidR="00CA4D29" w:rsidRPr="00FC4B2B" w:rsidRDefault="00CA4D29" w:rsidP="00CA4D29">
      <w:pPr>
        <w:pStyle w:val="Overskrift1"/>
        <w:rPr>
          <w:rFonts w:ascii="Arial" w:hAnsi="Arial" w:cs="Arial"/>
          <w:bCs/>
          <w:color w:val="365F91"/>
          <w:sz w:val="28"/>
          <w:szCs w:val="28"/>
        </w:rPr>
      </w:pPr>
      <w:r w:rsidRPr="00FC4B2B">
        <w:rPr>
          <w:rFonts w:ascii="Arial" w:hAnsi="Arial" w:cs="Arial"/>
        </w:rPr>
        <w:t xml:space="preserve">Mal for </w:t>
      </w:r>
      <w:r>
        <w:rPr>
          <w:rFonts w:ascii="Arial" w:hAnsi="Arial" w:cs="Arial"/>
        </w:rPr>
        <w:t>økonomirapport</w:t>
      </w:r>
      <w:r w:rsidRPr="00FC4B2B">
        <w:rPr>
          <w:rFonts w:ascii="Arial" w:hAnsi="Arial" w:cs="Arial"/>
        </w:rPr>
        <w:t xml:space="preserve"> </w:t>
      </w:r>
      <w:r w:rsidR="00035177">
        <w:rPr>
          <w:rFonts w:ascii="Arial" w:hAnsi="Arial" w:cs="Arial"/>
        </w:rPr>
        <w:t>2</w:t>
      </w:r>
      <w:r w:rsidRPr="00FC4B2B">
        <w:rPr>
          <w:rFonts w:ascii="Arial" w:hAnsi="Arial" w:cs="Arial"/>
        </w:rPr>
        <w:t>. tertial 202</w:t>
      </w:r>
      <w:r>
        <w:rPr>
          <w:rFonts w:ascii="Arial" w:hAnsi="Arial" w:cs="Arial"/>
        </w:rPr>
        <w:t>4</w:t>
      </w:r>
    </w:p>
    <w:p w14:paraId="1A55E4B7" w14:textId="77777777" w:rsidR="00CA4D29" w:rsidRDefault="00CA4D29" w:rsidP="00CA4D29">
      <w:pPr>
        <w:spacing w:after="0"/>
        <w:ind w:left="360"/>
        <w:rPr>
          <w:rFonts w:ascii="Georgia" w:hAnsi="Georgia"/>
          <w:sz w:val="20"/>
          <w:lang w:val="x-none"/>
        </w:rPr>
      </w:pPr>
    </w:p>
    <w:p w14:paraId="62436BA0" w14:textId="77777777" w:rsidR="00CA4D29" w:rsidRPr="00CA4D29" w:rsidRDefault="00CA4D29" w:rsidP="00CA4D29">
      <w:pPr>
        <w:pStyle w:val="Georgia11spacing10after"/>
        <w:spacing w:after="0"/>
        <w:rPr>
          <w:rFonts w:asciiTheme="minorHAnsi" w:hAnsiTheme="minorHAnsi" w:cstheme="minorHAnsi"/>
          <w:sz w:val="20"/>
          <w:szCs w:val="20"/>
        </w:rPr>
      </w:pPr>
      <w:r w:rsidRPr="00CA4D29">
        <w:rPr>
          <w:rFonts w:asciiTheme="minorHAnsi" w:hAnsiTheme="minorHAnsi" w:cstheme="minorHAnsi"/>
          <w:sz w:val="20"/>
          <w:szCs w:val="20"/>
        </w:rPr>
        <w:t>[Rapporten skal beskrive enhetens økonomiske situasjon. Det skal legges vekt på forhold av vesentlig betydning for enheten og for UiOs ledelse, og evt. endrede vurderinger siden forrige rapportering. Spesielt bør det legges vekt på utviklingstrekk med betydning for enhetens handlingsrom og økonomisk risiko. Status og utviklingstrekk bør settes i sammenheng med enhetens prognoser.</w:t>
      </w:r>
    </w:p>
    <w:p w14:paraId="4F84C4B9" w14:textId="77777777" w:rsidR="00CA4D29" w:rsidRPr="00CA4D29" w:rsidRDefault="00CA4D29" w:rsidP="00CA4D29">
      <w:pPr>
        <w:pStyle w:val="Georgia11spacing10after"/>
        <w:spacing w:after="0"/>
        <w:rPr>
          <w:rFonts w:asciiTheme="minorHAnsi" w:hAnsiTheme="minorHAnsi" w:cstheme="minorHAnsi"/>
          <w:sz w:val="20"/>
          <w:szCs w:val="20"/>
        </w:rPr>
      </w:pPr>
    </w:p>
    <w:p w14:paraId="337BC0C1" w14:textId="30DD2C0A" w:rsidR="00CA4D29" w:rsidRPr="00CA4D29" w:rsidRDefault="00CA4D29" w:rsidP="00CA4D29">
      <w:pPr>
        <w:pStyle w:val="Georgia11spacing10after"/>
        <w:spacing w:after="0"/>
        <w:rPr>
          <w:rFonts w:asciiTheme="minorHAnsi" w:hAnsiTheme="minorHAnsi" w:cstheme="minorHAnsi"/>
          <w:color w:val="4472C4" w:themeColor="accent1"/>
          <w:sz w:val="20"/>
          <w:lang w:val="nb-NO"/>
        </w:rPr>
      </w:pPr>
      <w:r w:rsidRPr="00CA4D29">
        <w:rPr>
          <w:rFonts w:asciiTheme="minorHAnsi" w:hAnsiTheme="minorHAnsi" w:cstheme="minorHAnsi"/>
          <w:sz w:val="20"/>
          <w:lang w:val="nb-NO"/>
        </w:rPr>
        <w:t>S</w:t>
      </w:r>
      <w:proofErr w:type="spellStart"/>
      <w:r w:rsidRPr="00CA4D29">
        <w:rPr>
          <w:rFonts w:asciiTheme="minorHAnsi" w:hAnsiTheme="minorHAnsi" w:cstheme="minorHAnsi"/>
          <w:sz w:val="20"/>
        </w:rPr>
        <w:t>tandardtabell</w:t>
      </w:r>
      <w:r w:rsidRPr="00CA4D29">
        <w:rPr>
          <w:rFonts w:asciiTheme="minorHAnsi" w:hAnsiTheme="minorHAnsi" w:cstheme="minorHAnsi"/>
          <w:sz w:val="20"/>
          <w:lang w:val="nb-NO"/>
        </w:rPr>
        <w:t>er</w:t>
      </w:r>
      <w:proofErr w:type="spellEnd"/>
      <w:r w:rsidRPr="00CA4D29">
        <w:rPr>
          <w:rFonts w:asciiTheme="minorHAnsi" w:hAnsiTheme="minorHAnsi" w:cstheme="minorHAnsi"/>
          <w:sz w:val="20"/>
        </w:rPr>
        <w:t xml:space="preserve"> for</w:t>
      </w:r>
      <w:r w:rsidRPr="00CA4D29">
        <w:rPr>
          <w:rFonts w:asciiTheme="minorHAnsi" w:hAnsiTheme="minorHAnsi" w:cstheme="minorHAnsi"/>
          <w:sz w:val="20"/>
          <w:lang w:val="nb-NO"/>
        </w:rPr>
        <w:t xml:space="preserve"> økonomisk utvikling</w:t>
      </w:r>
      <w:r w:rsidRPr="00CA4D29">
        <w:rPr>
          <w:rFonts w:asciiTheme="minorHAnsi" w:hAnsiTheme="minorHAnsi" w:cstheme="minorHAnsi"/>
          <w:sz w:val="20"/>
        </w:rPr>
        <w:t xml:space="preserve"> skal inngå som del av </w:t>
      </w:r>
      <w:r w:rsidRPr="00CA4D29">
        <w:rPr>
          <w:rFonts w:asciiTheme="minorHAnsi" w:hAnsiTheme="minorHAnsi" w:cstheme="minorHAnsi"/>
          <w:sz w:val="20"/>
          <w:lang w:val="nb-NO"/>
        </w:rPr>
        <w:t>økonomirapporten, jfr. tabellen nedenfor</w:t>
      </w:r>
      <w:r w:rsidRPr="00CA4D29">
        <w:rPr>
          <w:rFonts w:asciiTheme="minorHAnsi" w:hAnsiTheme="minorHAnsi" w:cstheme="minorHAnsi"/>
          <w:sz w:val="20"/>
        </w:rPr>
        <w:t>.</w:t>
      </w:r>
    </w:p>
    <w:p w14:paraId="2D9E73E5" w14:textId="77777777" w:rsidR="00CA4D29" w:rsidRDefault="00CA4D29" w:rsidP="00CA4D29">
      <w:pPr>
        <w:pStyle w:val="Georgia11spacing10after"/>
        <w:spacing w:after="0"/>
        <w:rPr>
          <w:sz w:val="20"/>
        </w:rPr>
      </w:pPr>
    </w:p>
    <w:p w14:paraId="14DA0FC3" w14:textId="5D718549" w:rsidR="00CA4D29" w:rsidRDefault="00035177" w:rsidP="00CA4D29">
      <w:r>
        <w:rPr>
          <w:noProof/>
        </w:rPr>
        <w:drawing>
          <wp:inline distT="0" distB="0" distL="0" distR="0" wp14:anchorId="7AE1FBC9" wp14:editId="7CE54C8E">
            <wp:extent cx="2919046" cy="1808877"/>
            <wp:effectExtent l="0" t="0" r="0" b="127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7574" cy="1832752"/>
                    </a:xfrm>
                    <a:prstGeom prst="rect">
                      <a:avLst/>
                    </a:prstGeom>
                    <a:noFill/>
                    <a:ln>
                      <a:noFill/>
                    </a:ln>
                  </pic:spPr>
                </pic:pic>
              </a:graphicData>
            </a:graphic>
          </wp:inline>
        </w:drawing>
      </w:r>
      <w:r w:rsidR="00CA4D29">
        <w:t xml:space="preserve">    </w:t>
      </w:r>
      <w:r w:rsidR="00AB5EF8">
        <w:rPr>
          <w:noProof/>
        </w:rPr>
        <w:drawing>
          <wp:inline distT="0" distB="0" distL="0" distR="0" wp14:anchorId="720B29D3" wp14:editId="0B31DF85">
            <wp:extent cx="2614894" cy="1788607"/>
            <wp:effectExtent l="0" t="0" r="0" b="254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0044" cy="1812650"/>
                    </a:xfrm>
                    <a:prstGeom prst="rect">
                      <a:avLst/>
                    </a:prstGeom>
                    <a:noFill/>
                    <a:ln>
                      <a:noFill/>
                    </a:ln>
                  </pic:spPr>
                </pic:pic>
              </a:graphicData>
            </a:graphic>
          </wp:inline>
        </w:drawing>
      </w:r>
    </w:p>
    <w:p w14:paraId="5030F880" w14:textId="78A89A86" w:rsidR="00CA4D29" w:rsidRDefault="00CA4D29" w:rsidP="00CA4D29">
      <w:pPr>
        <w:rPr>
          <w:sz w:val="20"/>
        </w:rPr>
      </w:pPr>
      <w:r>
        <w:br/>
      </w:r>
      <w:r w:rsidR="00AB5EF8">
        <w:rPr>
          <w:noProof/>
        </w:rPr>
        <w:drawing>
          <wp:inline distT="0" distB="0" distL="0" distR="0" wp14:anchorId="1888CE74" wp14:editId="509EFC73">
            <wp:extent cx="2906895" cy="1848896"/>
            <wp:effectExtent l="0" t="0" r="825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5588" cy="1873506"/>
                    </a:xfrm>
                    <a:prstGeom prst="rect">
                      <a:avLst/>
                    </a:prstGeom>
                    <a:noFill/>
                    <a:ln>
                      <a:noFill/>
                    </a:ln>
                  </pic:spPr>
                </pic:pic>
              </a:graphicData>
            </a:graphic>
          </wp:inline>
        </w:drawing>
      </w:r>
      <w:r>
        <w:br/>
      </w:r>
      <w:r>
        <w:br/>
      </w:r>
      <w:r>
        <w:rPr>
          <w:sz w:val="20"/>
        </w:rPr>
        <w:t xml:space="preserve">Dersom enheten selv ønsker å rapportere på langtidsprognosen, må i tillegg </w:t>
      </w:r>
      <w:r w:rsidRPr="00B068CB">
        <w:rPr>
          <w:i/>
          <w:iCs/>
          <w:sz w:val="20"/>
        </w:rPr>
        <w:t>standardtabellen for langtidsprognose</w:t>
      </w:r>
      <w:r>
        <w:rPr>
          <w:sz w:val="20"/>
        </w:rPr>
        <w:t xml:space="preserve"> hentes ut.</w:t>
      </w:r>
      <w:r w:rsidRPr="005665AC">
        <w:rPr>
          <w:sz w:val="20"/>
        </w:rPr>
        <w:t xml:space="preserve"> </w:t>
      </w:r>
    </w:p>
    <w:p w14:paraId="01BA16FA" w14:textId="77777777" w:rsidR="00CA4D29" w:rsidRDefault="00CA4D29" w:rsidP="00CA4D29">
      <w:pPr>
        <w:pStyle w:val="Georgia11spacing10after"/>
        <w:spacing w:after="0"/>
        <w:rPr>
          <w:sz w:val="20"/>
        </w:rPr>
      </w:pPr>
    </w:p>
    <w:p w14:paraId="5B102B71" w14:textId="77777777" w:rsidR="00CA4D29" w:rsidRPr="00CA4D29" w:rsidRDefault="00CA4D29" w:rsidP="00CA4D29">
      <w:pPr>
        <w:pStyle w:val="Georgia11spacing10after"/>
        <w:spacing w:after="0"/>
        <w:rPr>
          <w:rFonts w:asciiTheme="minorHAnsi" w:hAnsiTheme="minorHAnsi" w:cstheme="minorHAnsi"/>
          <w:sz w:val="20"/>
          <w:lang w:val="nb-NO"/>
        </w:rPr>
      </w:pPr>
      <w:r w:rsidRPr="00CA4D29">
        <w:rPr>
          <w:rFonts w:asciiTheme="minorHAnsi" w:hAnsiTheme="minorHAnsi" w:cstheme="minorHAnsi"/>
          <w:sz w:val="20"/>
        </w:rPr>
        <w:t>Tabellen</w:t>
      </w:r>
      <w:r w:rsidRPr="00CA4D29">
        <w:rPr>
          <w:rFonts w:asciiTheme="minorHAnsi" w:hAnsiTheme="minorHAnsi" w:cstheme="minorHAnsi"/>
          <w:sz w:val="20"/>
          <w:lang w:val="nb-NO"/>
        </w:rPr>
        <w:t>(e)</w:t>
      </w:r>
      <w:r w:rsidRPr="00CA4D29">
        <w:rPr>
          <w:rFonts w:asciiTheme="minorHAnsi" w:hAnsiTheme="minorHAnsi" w:cstheme="minorHAnsi"/>
          <w:sz w:val="20"/>
        </w:rPr>
        <w:t xml:space="preserve"> hentes ut fra </w:t>
      </w:r>
      <w:proofErr w:type="spellStart"/>
      <w:r w:rsidRPr="00CA4D29">
        <w:rPr>
          <w:rFonts w:asciiTheme="minorHAnsi" w:hAnsiTheme="minorHAnsi" w:cstheme="minorHAnsi"/>
          <w:sz w:val="20"/>
          <w:lang w:val="nb-NO"/>
        </w:rPr>
        <w:t>Tableau</w:t>
      </w:r>
      <w:proofErr w:type="spellEnd"/>
      <w:r w:rsidRPr="00CA4D29">
        <w:rPr>
          <w:rFonts w:asciiTheme="minorHAnsi" w:hAnsiTheme="minorHAnsi" w:cstheme="minorHAnsi"/>
          <w:sz w:val="20"/>
        </w:rPr>
        <w:t xml:space="preserve"> iht</w:t>
      </w:r>
      <w:r w:rsidRPr="00CA4D29">
        <w:rPr>
          <w:rFonts w:asciiTheme="minorHAnsi" w:hAnsiTheme="minorHAnsi" w:cstheme="minorHAnsi"/>
          <w:sz w:val="20"/>
          <w:lang w:val="nb-NO"/>
        </w:rPr>
        <w:t>.</w:t>
      </w:r>
      <w:r w:rsidRPr="00CA4D29">
        <w:rPr>
          <w:rFonts w:asciiTheme="minorHAnsi" w:hAnsiTheme="minorHAnsi" w:cstheme="minorHAnsi"/>
          <w:sz w:val="20"/>
        </w:rPr>
        <w:t xml:space="preserve"> nærmere veiledning i e-post </w:t>
      </w:r>
      <w:r w:rsidRPr="00CA4D29">
        <w:rPr>
          <w:rFonts w:asciiTheme="minorHAnsi" w:hAnsiTheme="minorHAnsi" w:cstheme="minorHAnsi"/>
          <w:color w:val="000000" w:themeColor="text1"/>
          <w:sz w:val="20"/>
          <w:lang w:val="nb-NO"/>
        </w:rPr>
        <w:t xml:space="preserve">som sendes til økonomiledere og </w:t>
      </w:r>
      <w:proofErr w:type="spellStart"/>
      <w:r w:rsidRPr="00CA4D29">
        <w:rPr>
          <w:rFonts w:asciiTheme="minorHAnsi" w:hAnsiTheme="minorHAnsi" w:cstheme="minorHAnsi"/>
          <w:color w:val="000000" w:themeColor="text1"/>
          <w:sz w:val="20"/>
          <w:lang w:val="nb-NO"/>
        </w:rPr>
        <w:t>økonomicontrollere</w:t>
      </w:r>
      <w:proofErr w:type="spellEnd"/>
      <w:r w:rsidRPr="00CA4D29">
        <w:rPr>
          <w:rFonts w:asciiTheme="minorHAnsi" w:hAnsiTheme="minorHAnsi" w:cstheme="minorHAnsi"/>
          <w:sz w:val="20"/>
          <w:lang w:val="nb-NO"/>
        </w:rPr>
        <w:t>.</w:t>
      </w:r>
      <w:r w:rsidRPr="00CA4D29">
        <w:rPr>
          <w:rFonts w:asciiTheme="minorHAnsi" w:hAnsiTheme="minorHAnsi" w:cstheme="minorHAnsi"/>
          <w:sz w:val="20"/>
        </w:rPr>
        <w:t>]</w:t>
      </w:r>
    </w:p>
    <w:p w14:paraId="165F77DB" w14:textId="77777777" w:rsidR="00CA4D29" w:rsidRDefault="00CA4D29" w:rsidP="00CA4D29">
      <w:pPr>
        <w:pStyle w:val="Georgia11spacing10after"/>
        <w:spacing w:after="0"/>
        <w:rPr>
          <w:sz w:val="20"/>
        </w:rPr>
      </w:pPr>
    </w:p>
    <w:p w14:paraId="31E66B55" w14:textId="428445DE" w:rsidR="0053355A" w:rsidRPr="00434B54" w:rsidRDefault="00CA4D29" w:rsidP="00CA4D29">
      <w:pPr>
        <w:ind w:left="360"/>
      </w:pPr>
      <w:r w:rsidRPr="00FC4B2B">
        <w:rPr>
          <w:rFonts w:cstheme="minorHAnsi"/>
        </w:rPr>
        <w:t xml:space="preserve"> </w:t>
      </w:r>
    </w:p>
    <w:sectPr w:rsidR="0053355A" w:rsidRPr="00434B54" w:rsidSect="003551A9">
      <w:headerReference w:type="default" r:id="rId14"/>
      <w:footerReference w:type="default" r:id="rId15"/>
      <w:pgSz w:w="11906" w:h="16838"/>
      <w:pgMar w:top="2600" w:right="1134" w:bottom="2268"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3AD4" w14:textId="77777777" w:rsidR="000A131E" w:rsidRDefault="000A131E" w:rsidP="00B40445">
      <w:pPr>
        <w:spacing w:after="0"/>
      </w:pPr>
      <w:r>
        <w:separator/>
      </w:r>
    </w:p>
  </w:endnote>
  <w:endnote w:type="continuationSeparator" w:id="0">
    <w:p w14:paraId="64C41F55" w14:textId="77777777" w:rsidR="000A131E" w:rsidRDefault="000A131E" w:rsidP="00B404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834243"/>
      <w:docPartObj>
        <w:docPartGallery w:val="Page Numbers (Bottom of Page)"/>
        <w:docPartUnique/>
      </w:docPartObj>
    </w:sdtPr>
    <w:sdtEndPr/>
    <w:sdtContent>
      <w:p w14:paraId="025B4F44" w14:textId="0932B491" w:rsidR="0053355A" w:rsidRDefault="0053355A">
        <w:pPr>
          <w:pStyle w:val="Bunntekst"/>
          <w:jc w:val="right"/>
        </w:pPr>
        <w:r>
          <w:fldChar w:fldCharType="begin"/>
        </w:r>
        <w:r>
          <w:instrText>PAGE   \* MERGEFORMAT</w:instrText>
        </w:r>
        <w:r>
          <w:fldChar w:fldCharType="separate"/>
        </w:r>
        <w:r>
          <w:t>2</w:t>
        </w:r>
        <w:r>
          <w:fldChar w:fldCharType="end"/>
        </w:r>
      </w:p>
    </w:sdtContent>
  </w:sdt>
  <w:p w14:paraId="0C7B4B0E" w14:textId="77777777" w:rsidR="0053355A" w:rsidRDefault="0053355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DD73C" w14:textId="77777777" w:rsidR="000A131E" w:rsidRDefault="000A131E" w:rsidP="00B40445">
      <w:pPr>
        <w:spacing w:after="0"/>
      </w:pPr>
      <w:r>
        <w:separator/>
      </w:r>
    </w:p>
  </w:footnote>
  <w:footnote w:type="continuationSeparator" w:id="0">
    <w:p w14:paraId="23877582" w14:textId="77777777" w:rsidR="000A131E" w:rsidRDefault="000A131E" w:rsidP="00B404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0AF5" w14:textId="77777777" w:rsidR="00B40445" w:rsidRDefault="002D155D">
    <w:pPr>
      <w:pStyle w:val="Topptekst"/>
    </w:pPr>
    <w:r w:rsidRPr="00B40445">
      <w:rPr>
        <w:noProof/>
      </w:rPr>
      <w:drawing>
        <wp:anchor distT="0" distB="0" distL="114300" distR="114300" simplePos="0" relativeHeight="251659264" behindDoc="1" locked="0" layoutInCell="1" allowOverlap="1" wp14:anchorId="3573CCD0" wp14:editId="368515CA">
          <wp:simplePos x="0" y="0"/>
          <wp:positionH relativeFrom="page">
            <wp:posOffset>367386</wp:posOffset>
          </wp:positionH>
          <wp:positionV relativeFrom="page">
            <wp:posOffset>358775</wp:posOffset>
          </wp:positionV>
          <wp:extent cx="2854325" cy="725170"/>
          <wp:effectExtent l="0" t="0" r="3175" b="0"/>
          <wp:wrapNone/>
          <wp:docPr id="27" name="Grafik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4325" cy="725170"/>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1E"/>
    <w:rsid w:val="00035177"/>
    <w:rsid w:val="000A131E"/>
    <w:rsid w:val="001C06E8"/>
    <w:rsid w:val="001E486D"/>
    <w:rsid w:val="002D155D"/>
    <w:rsid w:val="002E2A5D"/>
    <w:rsid w:val="00301FF9"/>
    <w:rsid w:val="003125A0"/>
    <w:rsid w:val="003551A9"/>
    <w:rsid w:val="00355EE8"/>
    <w:rsid w:val="00395E70"/>
    <w:rsid w:val="00434B54"/>
    <w:rsid w:val="004B0BF1"/>
    <w:rsid w:val="004F5DE9"/>
    <w:rsid w:val="004F7A13"/>
    <w:rsid w:val="00507968"/>
    <w:rsid w:val="0053355A"/>
    <w:rsid w:val="00774589"/>
    <w:rsid w:val="007B38DD"/>
    <w:rsid w:val="00867DE8"/>
    <w:rsid w:val="00954C55"/>
    <w:rsid w:val="009D0116"/>
    <w:rsid w:val="00A05EFF"/>
    <w:rsid w:val="00AB5EF8"/>
    <w:rsid w:val="00AC4083"/>
    <w:rsid w:val="00AE1B2D"/>
    <w:rsid w:val="00B12C2A"/>
    <w:rsid w:val="00B40445"/>
    <w:rsid w:val="00B5600F"/>
    <w:rsid w:val="00BD1BA1"/>
    <w:rsid w:val="00BE7194"/>
    <w:rsid w:val="00CA4D29"/>
    <w:rsid w:val="00D147E1"/>
    <w:rsid w:val="00DB4262"/>
    <w:rsid w:val="00DB70FC"/>
    <w:rsid w:val="00E1634D"/>
    <w:rsid w:val="00E43EF5"/>
    <w:rsid w:val="00E47FAC"/>
    <w:rsid w:val="00E82534"/>
    <w:rsid w:val="00EE790A"/>
    <w:rsid w:val="00F0595C"/>
    <w:rsid w:val="00F650E1"/>
    <w:rsid w:val="00F94737"/>
    <w:rsid w:val="00FC5CB1"/>
    <w:rsid w:val="00FD2A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D00C7"/>
  <w15:chartTrackingRefBased/>
  <w15:docId w15:val="{0D06BBAC-F252-4C1C-AC66-015744AA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434B54"/>
    <w:pPr>
      <w:spacing w:line="240" w:lineRule="auto"/>
    </w:pPr>
  </w:style>
  <w:style w:type="paragraph" w:styleId="Overskrift1">
    <w:name w:val="heading 1"/>
    <w:basedOn w:val="Normal"/>
    <w:next w:val="Normal"/>
    <w:link w:val="Overskrift1Tegn"/>
    <w:uiPriority w:val="9"/>
    <w:qFormat/>
    <w:rsid w:val="002E2A5D"/>
    <w:pPr>
      <w:keepNext/>
      <w:keepLines/>
      <w:spacing w:before="240" w:after="0"/>
      <w:outlineLvl w:val="0"/>
    </w:pPr>
    <w:rPr>
      <w:rFonts w:asciiTheme="majorHAnsi" w:eastAsiaTheme="majorEastAsia" w:hAnsiTheme="majorHAnsi" w:cstheme="majorBidi"/>
      <w:b/>
      <w:color w:val="000000" w:themeColor="text1"/>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B40445"/>
    <w:pPr>
      <w:tabs>
        <w:tab w:val="center" w:pos="4536"/>
        <w:tab w:val="right" w:pos="9072"/>
      </w:tabs>
      <w:spacing w:after="0"/>
    </w:pPr>
  </w:style>
  <w:style w:type="character" w:customStyle="1" w:styleId="TopptekstTegn">
    <w:name w:val="Topptekst Tegn"/>
    <w:basedOn w:val="Standardskriftforavsnitt"/>
    <w:link w:val="Topptekst"/>
    <w:uiPriority w:val="99"/>
    <w:semiHidden/>
    <w:rsid w:val="00E43EF5"/>
  </w:style>
  <w:style w:type="paragraph" w:styleId="Bunntekst">
    <w:name w:val="footer"/>
    <w:basedOn w:val="Normal"/>
    <w:link w:val="BunntekstTegn"/>
    <w:uiPriority w:val="99"/>
    <w:rsid w:val="00B40445"/>
    <w:pPr>
      <w:tabs>
        <w:tab w:val="center" w:pos="4536"/>
        <w:tab w:val="right" w:pos="9072"/>
      </w:tabs>
      <w:spacing w:after="0"/>
    </w:pPr>
  </w:style>
  <w:style w:type="character" w:customStyle="1" w:styleId="BunntekstTegn">
    <w:name w:val="Bunntekst Tegn"/>
    <w:basedOn w:val="Standardskriftforavsnitt"/>
    <w:link w:val="Bunntekst"/>
    <w:uiPriority w:val="99"/>
    <w:rsid w:val="00E43EF5"/>
  </w:style>
  <w:style w:type="table" w:styleId="Tabellrutenett">
    <w:name w:val="Table Grid"/>
    <w:basedOn w:val="Vanligtabell"/>
    <w:uiPriority w:val="39"/>
    <w:rsid w:val="00395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2E2A5D"/>
    <w:rPr>
      <w:color w:val="auto"/>
    </w:rPr>
  </w:style>
  <w:style w:type="character" w:customStyle="1" w:styleId="Overskrift1Tegn">
    <w:name w:val="Overskrift 1 Tegn"/>
    <w:basedOn w:val="Standardskriftforavsnitt"/>
    <w:link w:val="Overskrift1"/>
    <w:uiPriority w:val="9"/>
    <w:rsid w:val="00E43EF5"/>
    <w:rPr>
      <w:rFonts w:asciiTheme="majorHAnsi" w:eastAsiaTheme="majorEastAsia" w:hAnsiTheme="majorHAnsi" w:cstheme="majorBidi"/>
      <w:b/>
      <w:color w:val="000000" w:themeColor="text1"/>
      <w:szCs w:val="32"/>
    </w:rPr>
  </w:style>
  <w:style w:type="paragraph" w:customStyle="1" w:styleId="Default">
    <w:name w:val="Default"/>
    <w:semiHidden/>
    <w:rsid w:val="002E2A5D"/>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semiHidden/>
    <w:rsid w:val="002E2A5D"/>
    <w:pPr>
      <w:spacing w:line="241" w:lineRule="atLeast"/>
    </w:pPr>
    <w:rPr>
      <w:color w:val="auto"/>
    </w:rPr>
  </w:style>
  <w:style w:type="character" w:customStyle="1" w:styleId="A0">
    <w:name w:val="A0"/>
    <w:uiPriority w:val="99"/>
    <w:semiHidden/>
    <w:rsid w:val="002E2A5D"/>
    <w:rPr>
      <w:color w:val="221E1F"/>
      <w:sz w:val="18"/>
      <w:szCs w:val="18"/>
    </w:rPr>
  </w:style>
  <w:style w:type="paragraph" w:customStyle="1" w:styleId="Georgia11spacing10after">
    <w:name w:val="Georgia11_spacing_10after"/>
    <w:basedOn w:val="Normal"/>
    <w:rsid w:val="00CA4D29"/>
    <w:pPr>
      <w:spacing w:after="200" w:line="276" w:lineRule="auto"/>
    </w:pPr>
    <w:rPr>
      <w:rFonts w:ascii="Georgia" w:eastAsia="Calibri" w:hAnsi="Georgia"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ersgs\Downloads\mal-generelt-notat-bokmal%20(10).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gendefinert 11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00a67f-9791-437e-b702-303a706ea042">
      <Terms xmlns="http://schemas.microsoft.com/office/infopath/2007/PartnerControls"/>
    </lcf76f155ced4ddcb4097134ff3c332f>
    <TaxCatchAll xmlns="7dc3d6ed-56f1-49b6-b310-0ff680cfe62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oot>
  <Enhet/>
</root>
</file>

<file path=customXml/item4.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4" ma:contentTypeDescription="Create a new document." ma:contentTypeScope="" ma:versionID="4861cb06711c43ae5b06507c0d33fa01">
  <xsd:schema xmlns:xsd="http://www.w3.org/2001/XMLSchema" xmlns:xs="http://www.w3.org/2001/XMLSchema" xmlns:p="http://schemas.microsoft.com/office/2006/metadata/properties" xmlns:ns2="3b00a67f-9791-437e-b702-303a706ea042" xmlns:ns3="7dc3d6ed-56f1-49b6-b310-0ff680cfe62a" targetNamespace="http://schemas.microsoft.com/office/2006/metadata/properties" ma:root="true" ma:fieldsID="676dbc1fb8e9648f94ba0d75529040bc" ns2:_="" ns3:_="">
    <xsd:import namespace="3b00a67f-9791-437e-b702-303a706ea042"/>
    <xsd:import namespace="7dc3d6ed-56f1-49b6-b310-0ff680cfe6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8a55df-a9cd-4882-8adc-9ae50d8055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c3d6ed-56f1-49b6-b310-0ff680cfe6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d73458-8fb0-4777-9551-357d96ad6676}" ma:internalName="TaxCatchAll" ma:showField="CatchAllData" ma:web="7dc3d6ed-56f1-49b6-b310-0ff680cfe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B95084-D297-43D4-8346-79015E7939D0}">
  <ds:schemaRefs>
    <ds:schemaRef ds:uri="http://purl.org/dc/terms/"/>
    <ds:schemaRef ds:uri="7dc3d6ed-56f1-49b6-b310-0ff680cfe62a"/>
    <ds:schemaRef ds:uri="http://schemas.microsoft.com/office/2006/documentManagement/types"/>
    <ds:schemaRef ds:uri="http://purl.org/dc/dcmitype/"/>
    <ds:schemaRef ds:uri="http://www.w3.org/XML/1998/namespace"/>
    <ds:schemaRef ds:uri="3b00a67f-9791-437e-b702-303a706ea042"/>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EDB9FE8-8E33-4CA5-A064-6BD8CE6B5129}">
  <ds:schemaRefs>
    <ds:schemaRef ds:uri="http://schemas.openxmlformats.org/officeDocument/2006/bibliography"/>
  </ds:schemaRefs>
</ds:datastoreItem>
</file>

<file path=customXml/itemProps3.xml><?xml version="1.0" encoding="utf-8"?>
<ds:datastoreItem xmlns:ds="http://schemas.openxmlformats.org/officeDocument/2006/customXml" ds:itemID="{EA55C48B-CB0D-47E0-9FC7-C7C9FE765157}">
  <ds:schemaRefs/>
</ds:datastoreItem>
</file>

<file path=customXml/itemProps4.xml><?xml version="1.0" encoding="utf-8"?>
<ds:datastoreItem xmlns:ds="http://schemas.openxmlformats.org/officeDocument/2006/customXml" ds:itemID="{EC7C6610-6C99-4CDA-B797-4687BAAF7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7dc3d6ed-56f1-49b6-b310-0ff680cfe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751D82-1737-428D-BF99-990D207B9BF1}">
  <ds:schemaRefs>
    <ds:schemaRef ds:uri="http://schemas.microsoft.com/sharepoint/v3/contenttype/forms"/>
  </ds:schemaRefs>
</ds:datastoreItem>
</file>

<file path=docMetadata/LabelInfo.xml><?xml version="1.0" encoding="utf-8"?>
<clbl:labelList xmlns:clbl="http://schemas.microsoft.com/office/2020/mipLabelMetadata">
  <clbl:label id="{463b6811-b0a4-4b2a-b932-72c4c970c5d2}" enabled="0" method="" siteId="{463b6811-b0a4-4b2a-b932-72c4c970c5d2}" removed="1"/>
</clbl:labelList>
</file>

<file path=docProps/app.xml><?xml version="1.0" encoding="utf-8"?>
<Properties xmlns="http://schemas.openxmlformats.org/officeDocument/2006/extended-properties" xmlns:vt="http://schemas.openxmlformats.org/officeDocument/2006/docPropsVTypes">
  <Template>mal-generelt-notat-bokmal (10)</Template>
  <TotalTime>13</TotalTime>
  <Pages>1</Pages>
  <Words>134</Words>
  <Characters>716</Characters>
  <Application>Microsoft Office Word</Application>
  <DocSecurity>0</DocSecurity>
  <Lines>5</Lines>
  <Paragraphs>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Gjærum Stensrud</dc:creator>
  <cp:keywords/>
  <dc:description/>
  <cp:lastModifiedBy>Jørn Henry Christiansen</cp:lastModifiedBy>
  <cp:revision>3</cp:revision>
  <dcterms:created xsi:type="dcterms:W3CDTF">2024-03-19T11:27:00Z</dcterms:created>
  <dcterms:modified xsi:type="dcterms:W3CDTF">2024-06-25T08:09:00Z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0x010100D982FC97A4EB864EBF6B6ADD443A67CC</vt:lpwstr>
  </property>
  <property fmtid="{D5CDD505-2E9C-101B-9397-08002B2CF9AE}" pid="4" name="MediaServiceImageTags">
    <vt:lpwstr/>
  </property>
</Properties>
</file>