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B16E" w14:textId="3C7C7B00" w:rsidR="007A0C29" w:rsidRPr="006F5DDA" w:rsidRDefault="007A0C29" w:rsidP="0015594E">
      <w:pPr>
        <w:pStyle w:val="Halvfet"/>
      </w:pPr>
      <w:r w:rsidRPr="006F5DDA">
        <w:t xml:space="preserve">Til </w:t>
      </w:r>
      <w:r w:rsidR="00230B69" w:rsidRPr="006F5DDA">
        <w:tab/>
      </w:r>
      <w:r w:rsidR="001A20C3">
        <w:t>PMR</w:t>
      </w:r>
    </w:p>
    <w:p w14:paraId="08C2BB74" w14:textId="36EB515B" w:rsidR="007A0C29" w:rsidRPr="006F5DDA" w:rsidRDefault="007A0C29" w:rsidP="00F37776">
      <w:pPr>
        <w:pStyle w:val="Halvfet"/>
      </w:pPr>
      <w:r w:rsidRPr="006F5DDA">
        <w:t xml:space="preserve">Fra </w:t>
      </w:r>
      <w:r w:rsidR="00230B69" w:rsidRPr="006F5DDA">
        <w:tab/>
      </w:r>
      <w:r w:rsidR="001A20C3">
        <w:t>Sekretær for PMR</w:t>
      </w:r>
      <w:r w:rsidRPr="006F5DDA">
        <w:tab/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94"/>
      </w:tblGrid>
      <w:tr w:rsidR="008459CA" w:rsidRPr="006F5DDA" w14:paraId="1934A451" w14:textId="77777777" w:rsidTr="008459CA">
        <w:tc>
          <w:tcPr>
            <w:tcW w:w="1268" w:type="pct"/>
            <w:tcBorders>
              <w:top w:val="single" w:sz="4" w:space="0" w:color="auto"/>
              <w:bottom w:val="nil"/>
            </w:tcBorders>
          </w:tcPr>
          <w:p w14:paraId="319E1999" w14:textId="77777777" w:rsidR="008459CA" w:rsidRPr="006F5DDA" w:rsidRDefault="008459CA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8459C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732" w:type="pct"/>
            <w:tcBorders>
              <w:top w:val="single" w:sz="4" w:space="0" w:color="auto"/>
              <w:bottom w:val="nil"/>
            </w:tcBorders>
          </w:tcPr>
          <w:p w14:paraId="1948CEDD" w14:textId="63495C7F" w:rsidR="008459CA" w:rsidRPr="006F5DDA" w:rsidRDefault="00476F16" w:rsidP="004B09F6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Diskusjons- og v</w:t>
            </w:r>
            <w:r w:rsidR="001A20C3">
              <w:rPr>
                <w:rFonts w:ascii="Georgia" w:hAnsi="Georgia"/>
                <w:b/>
                <w:bCs/>
              </w:rPr>
              <w:t xml:space="preserve">edtakssak </w:t>
            </w:r>
          </w:p>
        </w:tc>
      </w:tr>
      <w:tr w:rsidR="007A0C29" w:rsidRPr="006F5DDA" w14:paraId="49477115" w14:textId="77777777" w:rsidTr="008459CA">
        <w:tc>
          <w:tcPr>
            <w:tcW w:w="1268" w:type="pct"/>
            <w:tcBorders>
              <w:top w:val="nil"/>
            </w:tcBorders>
          </w:tcPr>
          <w:p w14:paraId="13907B77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732" w:type="pct"/>
            <w:tcBorders>
              <w:top w:val="nil"/>
            </w:tcBorders>
          </w:tcPr>
          <w:p w14:paraId="28DD3503" w14:textId="547E1C65" w:rsidR="007A0C29" w:rsidRPr="006F5DDA" w:rsidRDefault="000F0204" w:rsidP="000F020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28</w:t>
            </w:r>
            <w:r w:rsidR="00311D62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mars</w:t>
            </w:r>
            <w:r w:rsidR="00B679E1">
              <w:rPr>
                <w:rFonts w:ascii="Georgia" w:hAnsi="Georgia"/>
                <w:b/>
                <w:bCs/>
              </w:rPr>
              <w:t xml:space="preserve"> </w:t>
            </w:r>
            <w:r w:rsidR="001A20C3">
              <w:rPr>
                <w:rFonts w:ascii="Georgia" w:hAnsi="Georgia"/>
                <w:b/>
                <w:bCs/>
              </w:rPr>
              <w:t>2023</w:t>
            </w:r>
          </w:p>
        </w:tc>
      </w:tr>
      <w:tr w:rsidR="007A0C29" w:rsidRPr="006F5DDA" w14:paraId="58DA532F" w14:textId="77777777" w:rsidTr="004D1601">
        <w:tc>
          <w:tcPr>
            <w:tcW w:w="1268" w:type="pct"/>
          </w:tcPr>
          <w:p w14:paraId="54CA06EC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732" w:type="pct"/>
          </w:tcPr>
          <w:p w14:paraId="657872D5" w14:textId="36647ADB" w:rsidR="00F452C4" w:rsidRPr="001A20C3" w:rsidRDefault="001A20C3" w:rsidP="001A20C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1.</w:t>
            </w:r>
            <w:r w:rsidRPr="001A20C3">
              <w:rPr>
                <w:rFonts w:ascii="Georgia" w:hAnsi="Georgia"/>
                <w:b/>
                <w:bCs/>
              </w:rPr>
              <w:t>februar 2023</w:t>
            </w:r>
          </w:p>
        </w:tc>
      </w:tr>
      <w:tr w:rsidR="00F452C4" w:rsidRPr="006F5DDA" w14:paraId="503D84C0" w14:textId="77777777" w:rsidTr="004D1601">
        <w:tc>
          <w:tcPr>
            <w:tcW w:w="1268" w:type="pct"/>
          </w:tcPr>
          <w:p w14:paraId="55FB8BB4" w14:textId="3A49F7A8" w:rsidR="00F452C4" w:rsidRPr="006F5DDA" w:rsidRDefault="00F452C4" w:rsidP="000E150F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Arkivsaksnummer:</w:t>
            </w:r>
          </w:p>
        </w:tc>
        <w:tc>
          <w:tcPr>
            <w:tcW w:w="3732" w:type="pct"/>
          </w:tcPr>
          <w:p w14:paraId="2E2B5A8C" w14:textId="77777777" w:rsidR="00F452C4" w:rsidRDefault="00F452C4" w:rsidP="00F452C4">
            <w:pPr>
              <w:spacing w:after="0"/>
              <w:rPr>
                <w:rFonts w:ascii="Georgia" w:hAnsi="Georgia"/>
                <w:b/>
                <w:bCs/>
              </w:rPr>
            </w:pPr>
          </w:p>
        </w:tc>
      </w:tr>
      <w:tr w:rsidR="007A0C29" w:rsidRPr="006F5DDA" w14:paraId="0E7F6EDB" w14:textId="77777777" w:rsidTr="004D1601">
        <w:trPr>
          <w:trHeight w:val="17"/>
        </w:trPr>
        <w:tc>
          <w:tcPr>
            <w:tcW w:w="1268" w:type="pct"/>
          </w:tcPr>
          <w:p w14:paraId="24083489" w14:textId="77777777" w:rsidR="007A0C29" w:rsidRPr="006F5DDA" w:rsidRDefault="00F52286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Saksbehandler</w:t>
            </w:r>
            <w:r w:rsidR="007A0C29" w:rsidRPr="006F5DDA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732" w:type="pct"/>
          </w:tcPr>
          <w:p w14:paraId="69D43EF0" w14:textId="4599802D" w:rsidR="007A0C29" w:rsidRPr="006F5DDA" w:rsidRDefault="001A20C3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Anne Margit Tvenge</w:t>
            </w:r>
          </w:p>
        </w:tc>
      </w:tr>
    </w:tbl>
    <w:p w14:paraId="49CC9017" w14:textId="77777777" w:rsidR="007A0C29" w:rsidRPr="006F5DDA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502CD91D" w14:textId="2EB572E4" w:rsidR="001A20C3" w:rsidRDefault="00652066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RETKOM</w:t>
      </w:r>
      <w:r w:rsidR="00DB61CA">
        <w:rPr>
          <w:rFonts w:ascii="Georgia" w:hAnsi="Georgia"/>
          <w:b/>
          <w:bCs/>
        </w:rPr>
        <w:t>2107/</w:t>
      </w:r>
      <w:r>
        <w:rPr>
          <w:rFonts w:ascii="Georgia" w:hAnsi="Georgia"/>
          <w:b/>
          <w:bCs/>
        </w:rPr>
        <w:t xml:space="preserve">4107 Retorikk i rettssalen </w:t>
      </w:r>
      <w:r w:rsidR="00817EB3">
        <w:rPr>
          <w:rFonts w:ascii="Georgia" w:hAnsi="Georgia"/>
          <w:b/>
          <w:bCs/>
        </w:rPr>
        <w:t>for studenter på Master i rettsvitenskap</w:t>
      </w:r>
    </w:p>
    <w:p w14:paraId="181DAD14" w14:textId="77777777" w:rsidR="001A20C3" w:rsidRDefault="001A20C3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</w:p>
    <w:p w14:paraId="42380737" w14:textId="2CD706CE" w:rsid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Bakgrunn</w:t>
      </w:r>
    </w:p>
    <w:p w14:paraId="214F31FD" w14:textId="50B1CA8A" w:rsidR="008E5BED" w:rsidRPr="000F79A7" w:rsidRDefault="008E5BED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 w:rsidRPr="000F79A7">
        <w:rPr>
          <w:rFonts w:ascii="Georgia" w:hAnsi="Georgia" w:cs="Calibri"/>
          <w:bCs/>
        </w:rPr>
        <w:t>Institutt for lingvistiske og nordiske studier (ILN) ved Humanistisk fakultet opprettet emnet</w:t>
      </w:r>
      <w:r w:rsidR="00652066" w:rsidRPr="000F79A7">
        <w:rPr>
          <w:rFonts w:ascii="Georgia" w:hAnsi="Georgia" w:cs="Calibri"/>
          <w:bCs/>
        </w:rPr>
        <w:t xml:space="preserve"> RETKOM2107/4107 Reto</w:t>
      </w:r>
      <w:r w:rsidRPr="000F79A7">
        <w:rPr>
          <w:rFonts w:ascii="Georgia" w:hAnsi="Georgia" w:cs="Calibri"/>
          <w:bCs/>
        </w:rPr>
        <w:t xml:space="preserve">rikk i rettssalen </w:t>
      </w:r>
      <w:r w:rsidR="00652066" w:rsidRPr="000F79A7">
        <w:rPr>
          <w:rFonts w:ascii="Georgia" w:hAnsi="Georgia" w:cs="Calibri"/>
          <w:bCs/>
        </w:rPr>
        <w:t xml:space="preserve">våren 2023. </w:t>
      </w:r>
      <w:r w:rsidR="00817EB3">
        <w:rPr>
          <w:rFonts w:ascii="Georgia" w:hAnsi="Georgia"/>
        </w:rPr>
        <w:t>Emnet tilbys på både bachelor- og masternivå</w:t>
      </w:r>
    </w:p>
    <w:p w14:paraId="27A1F85F" w14:textId="7162D541" w:rsidR="008136B9" w:rsidRDefault="00652066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ILN</w:t>
      </w:r>
      <w:r w:rsidR="008136B9">
        <w:rPr>
          <w:rFonts w:ascii="Georgia" w:hAnsi="Georgia" w:cs="Calibri"/>
          <w:bCs/>
        </w:rPr>
        <w:t xml:space="preserve"> eier emnet, har emneansvar og </w:t>
      </w:r>
      <w:r>
        <w:rPr>
          <w:rFonts w:ascii="Georgia" w:hAnsi="Georgia" w:cs="Calibri"/>
          <w:bCs/>
        </w:rPr>
        <w:t xml:space="preserve">får tildelt alle studiepoeng. </w:t>
      </w:r>
    </w:p>
    <w:p w14:paraId="536488AC" w14:textId="49358ACA" w:rsidR="008136B9" w:rsidRDefault="00817EB3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E</w:t>
      </w:r>
      <w:r w:rsidR="008136B9">
        <w:rPr>
          <w:rFonts w:ascii="Georgia" w:hAnsi="Georgia" w:cs="Calibri"/>
          <w:bCs/>
        </w:rPr>
        <w:t xml:space="preserve">mnet er forbeholdt studenter på studieprogrammene i nordiske studier og rettsvitenskap. </w:t>
      </w:r>
    </w:p>
    <w:p w14:paraId="300148CA" w14:textId="06519705" w:rsidR="008E5BED" w:rsidRPr="000F79A7" w:rsidRDefault="008136B9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 w:rsidRPr="000F79A7">
        <w:rPr>
          <w:rFonts w:ascii="Georgia" w:hAnsi="Georgia" w:cs="Calibri"/>
          <w:bCs/>
        </w:rPr>
        <w:t>Undervisere fra Juss bidrar i undervisningen. Fakultetet</w:t>
      </w:r>
      <w:r w:rsidR="00817EB3">
        <w:rPr>
          <w:rFonts w:ascii="Georgia" w:hAnsi="Georgia" w:cs="Calibri"/>
          <w:bCs/>
        </w:rPr>
        <w:t xml:space="preserve"> får ikke </w:t>
      </w:r>
      <w:r w:rsidRPr="000F79A7">
        <w:rPr>
          <w:rFonts w:ascii="Georgia" w:hAnsi="Georgia" w:cs="Calibri"/>
          <w:bCs/>
        </w:rPr>
        <w:t xml:space="preserve">kostnader knyttet til dette, men </w:t>
      </w:r>
      <w:r w:rsidR="00817EB3">
        <w:rPr>
          <w:rFonts w:ascii="Georgia" w:hAnsi="Georgia" w:cs="Calibri"/>
          <w:bCs/>
        </w:rPr>
        <w:t>f</w:t>
      </w:r>
      <w:r w:rsidRPr="000F79A7">
        <w:rPr>
          <w:rFonts w:ascii="Georgia" w:hAnsi="Georgia" w:cs="Calibri"/>
          <w:bCs/>
        </w:rPr>
        <w:t>å</w:t>
      </w:r>
      <w:r w:rsidR="00817EB3">
        <w:rPr>
          <w:rFonts w:ascii="Georgia" w:hAnsi="Georgia" w:cs="Calibri"/>
          <w:bCs/>
        </w:rPr>
        <w:t>r</w:t>
      </w:r>
      <w:r w:rsidRPr="000F79A7">
        <w:rPr>
          <w:rFonts w:ascii="Georgia" w:hAnsi="Georgia" w:cs="Calibri"/>
          <w:bCs/>
        </w:rPr>
        <w:t xml:space="preserve"> betalt fra ILN ved at Juss internfakturer</w:t>
      </w:r>
      <w:r w:rsidR="006D775F">
        <w:rPr>
          <w:rFonts w:ascii="Georgia" w:hAnsi="Georgia" w:cs="Calibri"/>
          <w:bCs/>
        </w:rPr>
        <w:t>er</w:t>
      </w:r>
      <w:r w:rsidRPr="000F79A7">
        <w:rPr>
          <w:rFonts w:ascii="Georgia" w:hAnsi="Georgia" w:cs="Calibri"/>
          <w:bCs/>
        </w:rPr>
        <w:t xml:space="preserve"> ILN for undervisningskostnadene. For at dette skal skje på en ryddig måte er det opprettet en avtale om fordeling av undervisningsressurser mellom fakultetene</w:t>
      </w:r>
      <w:r w:rsidR="000F79A7">
        <w:rPr>
          <w:rFonts w:ascii="Georgia" w:hAnsi="Georgia" w:cs="Calibri"/>
          <w:bCs/>
        </w:rPr>
        <w:t>, se vedlegg.</w:t>
      </w:r>
    </w:p>
    <w:p w14:paraId="27FE67FF" w14:textId="198DBBED" w:rsidR="00652066" w:rsidRDefault="00817EB3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Undervisning, </w:t>
      </w:r>
      <w:r w:rsidR="00652066">
        <w:rPr>
          <w:rFonts w:ascii="Georgia" w:hAnsi="Georgia" w:cs="Calibri"/>
          <w:bCs/>
        </w:rPr>
        <w:t>se</w:t>
      </w:r>
      <w:r>
        <w:rPr>
          <w:rFonts w:ascii="Georgia" w:hAnsi="Georgia" w:cs="Calibri"/>
          <w:bCs/>
        </w:rPr>
        <w:t xml:space="preserve">nsur og kvalifiseringsoppgaver </w:t>
      </w:r>
      <w:r w:rsidR="00652066">
        <w:rPr>
          <w:rFonts w:ascii="Georgia" w:hAnsi="Georgia" w:cs="Calibri"/>
          <w:bCs/>
        </w:rPr>
        <w:t xml:space="preserve">fordeles i utgangspunktet likt mellom </w:t>
      </w:r>
      <w:r>
        <w:rPr>
          <w:rFonts w:ascii="Georgia" w:hAnsi="Georgia" w:cs="Calibri"/>
          <w:bCs/>
        </w:rPr>
        <w:t>de to aktuelle faglærerne fra Juss, Hans Petter Graver og Sverre Blandhol</w:t>
      </w:r>
      <w:r w:rsidR="00652066">
        <w:rPr>
          <w:rFonts w:ascii="Georgia" w:hAnsi="Georgia" w:cs="Calibri"/>
          <w:bCs/>
        </w:rPr>
        <w:t xml:space="preserve"> og ILN, men</w:t>
      </w:r>
      <w:r>
        <w:rPr>
          <w:rFonts w:ascii="Georgia" w:hAnsi="Georgia" w:cs="Calibri"/>
          <w:bCs/>
        </w:rPr>
        <w:t xml:space="preserve"> kan justeres </w:t>
      </w:r>
      <w:r w:rsidR="00652066">
        <w:rPr>
          <w:rFonts w:ascii="Georgia" w:hAnsi="Georgia" w:cs="Calibri"/>
          <w:bCs/>
        </w:rPr>
        <w:t>etter behov og tilgjengelige undervisningsressurser</w:t>
      </w:r>
      <w:r>
        <w:rPr>
          <w:rFonts w:ascii="Georgia" w:hAnsi="Georgia" w:cs="Calibri"/>
          <w:bCs/>
        </w:rPr>
        <w:t>. S</w:t>
      </w:r>
      <w:r w:rsidR="00DB61CA">
        <w:rPr>
          <w:rFonts w:ascii="Georgia" w:hAnsi="Georgia" w:cs="Calibri"/>
          <w:bCs/>
        </w:rPr>
        <w:t>e vedlagte avtale mellom fakultetet og ILN.</w:t>
      </w:r>
    </w:p>
    <w:p w14:paraId="36364787" w14:textId="77777777" w:rsidR="008B5592" w:rsidRPr="008B5592" w:rsidRDefault="008B5592" w:rsidP="008B5592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14:paraId="5B62DB89" w14:textId="77777777" w:rsidR="00B679E1" w:rsidRPr="000278DF" w:rsidRDefault="00B679E1" w:rsidP="00B679E1">
      <w:pPr>
        <w:pStyle w:val="Header"/>
        <w:spacing w:before="40"/>
        <w:rPr>
          <w:rFonts w:ascii="Georgia" w:hAnsi="Georgia" w:cs="Calibri"/>
          <w:b/>
          <w:bCs/>
        </w:rPr>
      </w:pPr>
      <w:r w:rsidRPr="000278DF">
        <w:rPr>
          <w:rFonts w:ascii="Georgia" w:hAnsi="Georgia" w:cs="Calibri"/>
          <w:b/>
          <w:bCs/>
        </w:rPr>
        <w:lastRenderedPageBreak/>
        <w:t>Hovedproblemstillinger</w:t>
      </w:r>
    </w:p>
    <w:p w14:paraId="7673442B" w14:textId="5A57139C" w:rsidR="00951FBC" w:rsidRPr="00D00FED" w:rsidRDefault="0064348B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 w:rsidRPr="00D00FED">
        <w:rPr>
          <w:rFonts w:ascii="Georgia" w:hAnsi="Georgia" w:cs="Calibri"/>
          <w:bCs/>
        </w:rPr>
        <w:t>Selv om</w:t>
      </w:r>
      <w:r w:rsidR="00817EB3" w:rsidRPr="00D00FED">
        <w:rPr>
          <w:rFonts w:ascii="Georgia" w:hAnsi="Georgia" w:cs="Calibri"/>
          <w:bCs/>
        </w:rPr>
        <w:t xml:space="preserve"> emnet er </w:t>
      </w:r>
      <w:r w:rsidRPr="00D00FED">
        <w:rPr>
          <w:rFonts w:ascii="Georgia" w:hAnsi="Georgia" w:cs="Calibri"/>
          <w:bCs/>
        </w:rPr>
        <w:t>åp</w:t>
      </w:r>
      <w:r w:rsidR="00817EB3" w:rsidRPr="00D00FED">
        <w:rPr>
          <w:rFonts w:ascii="Georgia" w:hAnsi="Georgia" w:cs="Calibri"/>
          <w:bCs/>
        </w:rPr>
        <w:t xml:space="preserve">ent </w:t>
      </w:r>
      <w:r w:rsidRPr="00D00FED">
        <w:rPr>
          <w:rFonts w:ascii="Georgia" w:hAnsi="Georgia" w:cs="Calibri"/>
          <w:bCs/>
        </w:rPr>
        <w:t>for studenter på Master i rettsvitenskap kan ikke e</w:t>
      </w:r>
      <w:r w:rsidR="008136B9" w:rsidRPr="00D00FED">
        <w:rPr>
          <w:rFonts w:ascii="Georgia" w:hAnsi="Georgia" w:cs="Calibri"/>
          <w:bCs/>
        </w:rPr>
        <w:t xml:space="preserve">mnet </w:t>
      </w:r>
      <w:r w:rsidR="00951FBC" w:rsidRPr="00D00FED">
        <w:rPr>
          <w:rFonts w:ascii="Georgia" w:hAnsi="Georgia" w:cs="Calibri"/>
          <w:bCs/>
        </w:rPr>
        <w:t>inngå</w:t>
      </w:r>
      <w:r w:rsidR="006D775F">
        <w:rPr>
          <w:rFonts w:ascii="Georgia" w:hAnsi="Georgia" w:cs="Calibri"/>
          <w:bCs/>
        </w:rPr>
        <w:t xml:space="preserve"> direkte</w:t>
      </w:r>
      <w:r w:rsidR="00951FBC" w:rsidRPr="00D00FED">
        <w:rPr>
          <w:rFonts w:ascii="Georgia" w:hAnsi="Georgia" w:cs="Calibri"/>
          <w:bCs/>
        </w:rPr>
        <w:t xml:space="preserve"> i</w:t>
      </w:r>
      <w:r w:rsidRPr="00D00FED">
        <w:rPr>
          <w:rFonts w:ascii="Georgia" w:hAnsi="Georgia" w:cs="Calibri"/>
          <w:bCs/>
        </w:rPr>
        <w:t xml:space="preserve"> graden</w:t>
      </w:r>
      <w:r w:rsidR="00817EB3" w:rsidRPr="00D00FED">
        <w:rPr>
          <w:rFonts w:ascii="Georgia" w:hAnsi="Georgia" w:cs="Calibri"/>
          <w:bCs/>
        </w:rPr>
        <w:t xml:space="preserve"> for jusstudenter som avlegger emnet</w:t>
      </w:r>
      <w:r w:rsidR="008136B9" w:rsidRPr="00D00FED">
        <w:rPr>
          <w:rFonts w:ascii="Georgia" w:hAnsi="Georgia" w:cs="Calibri"/>
          <w:bCs/>
        </w:rPr>
        <w:t>.</w:t>
      </w:r>
      <w:r w:rsidR="00817EB3" w:rsidRPr="00D00FED">
        <w:rPr>
          <w:rFonts w:ascii="Georgia" w:hAnsi="Georgia" w:cs="Calibri"/>
          <w:bCs/>
        </w:rPr>
        <w:t xml:space="preserve"> Juss</w:t>
      </w:r>
      <w:r w:rsidRPr="00D00FED">
        <w:rPr>
          <w:rFonts w:ascii="Georgia" w:hAnsi="Georgia" w:cs="Calibri"/>
          <w:bCs/>
        </w:rPr>
        <w:t xml:space="preserve">tudenter </w:t>
      </w:r>
      <w:r w:rsidR="00817EB3" w:rsidRPr="00D00FED">
        <w:rPr>
          <w:rFonts w:ascii="Georgia" w:hAnsi="Georgia" w:cs="Calibri"/>
          <w:bCs/>
        </w:rPr>
        <w:t xml:space="preserve">som ønsker å ha med emnet i graden </w:t>
      </w:r>
      <w:r w:rsidRPr="00D00FED">
        <w:rPr>
          <w:rFonts w:ascii="Georgia" w:hAnsi="Georgia" w:cs="Calibri"/>
          <w:bCs/>
        </w:rPr>
        <w:t xml:space="preserve">må </w:t>
      </w:r>
      <w:r w:rsidR="00817EB3" w:rsidRPr="00D00FED">
        <w:rPr>
          <w:rFonts w:ascii="Georgia" w:hAnsi="Georgia" w:cs="Calibri"/>
          <w:bCs/>
        </w:rPr>
        <w:t xml:space="preserve">i etterkant </w:t>
      </w:r>
      <w:r w:rsidRPr="00D00FED">
        <w:rPr>
          <w:rFonts w:ascii="Georgia" w:hAnsi="Georgia" w:cs="Calibri"/>
          <w:bCs/>
        </w:rPr>
        <w:t xml:space="preserve">søke om å få emnet </w:t>
      </w:r>
      <w:r w:rsidR="00951FBC" w:rsidRPr="00D00FED">
        <w:rPr>
          <w:rFonts w:ascii="Georgia" w:hAnsi="Georgia" w:cs="Calibri"/>
          <w:bCs/>
        </w:rPr>
        <w:t>godkjent</w:t>
      </w:r>
      <w:r w:rsidRPr="00D00FED">
        <w:rPr>
          <w:rFonts w:ascii="Georgia" w:hAnsi="Georgia" w:cs="Calibri"/>
          <w:bCs/>
        </w:rPr>
        <w:t xml:space="preserve"> som et valgemne</w:t>
      </w:r>
      <w:r w:rsidR="00817EB3" w:rsidRPr="00D00FED">
        <w:rPr>
          <w:rFonts w:ascii="Georgia" w:hAnsi="Georgia" w:cs="Calibri"/>
          <w:bCs/>
        </w:rPr>
        <w:t xml:space="preserve"> </w:t>
      </w:r>
      <w:r w:rsidR="000F79A7" w:rsidRPr="00D00FED">
        <w:rPr>
          <w:rFonts w:ascii="Georgia" w:hAnsi="Georgia" w:cs="Calibri"/>
          <w:bCs/>
        </w:rPr>
        <w:t xml:space="preserve">etter </w:t>
      </w:r>
      <w:r w:rsidR="00817EB3" w:rsidRPr="00D00FED">
        <w:rPr>
          <w:rFonts w:ascii="Georgia" w:hAnsi="Georgia" w:cs="Calibri"/>
          <w:bCs/>
        </w:rPr>
        <w:t>UH-lovens §</w:t>
      </w:r>
      <w:r w:rsidR="000F79A7" w:rsidRPr="00D00FED">
        <w:rPr>
          <w:rFonts w:ascii="Georgia" w:hAnsi="Georgia" w:cs="Calibri"/>
          <w:bCs/>
        </w:rPr>
        <w:t xml:space="preserve"> 3-5 (e)</w:t>
      </w:r>
      <w:r w:rsidRPr="00D00FED">
        <w:rPr>
          <w:rFonts w:ascii="Georgia" w:hAnsi="Georgia" w:cs="Calibri"/>
          <w:bCs/>
        </w:rPr>
        <w:t xml:space="preserve">. Det finnes ingen forhåndsvedtak om dette og </w:t>
      </w:r>
      <w:r w:rsidR="00817EB3" w:rsidRPr="00D00FED">
        <w:rPr>
          <w:rFonts w:ascii="Georgia" w:hAnsi="Georgia" w:cs="Calibri"/>
          <w:bCs/>
        </w:rPr>
        <w:t xml:space="preserve">det </w:t>
      </w:r>
      <w:r w:rsidRPr="00D00FED">
        <w:rPr>
          <w:rFonts w:ascii="Georgia" w:hAnsi="Georgia" w:cs="Calibri"/>
          <w:bCs/>
        </w:rPr>
        <w:t xml:space="preserve">krever individuelle søknader. </w:t>
      </w:r>
      <w:r w:rsidR="00951FBC" w:rsidRPr="00D00FED">
        <w:rPr>
          <w:rFonts w:ascii="Georgia" w:hAnsi="Georgia" w:cs="Calibri"/>
          <w:bCs/>
        </w:rPr>
        <w:t xml:space="preserve"> </w:t>
      </w:r>
    </w:p>
    <w:p w14:paraId="38C7EC2F" w14:textId="428747B6" w:rsidR="000F79A7" w:rsidRPr="00F37776" w:rsidRDefault="00817EB3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 w:rsidRPr="00F37776">
        <w:rPr>
          <w:rFonts w:ascii="Georgia" w:hAnsi="Georgia" w:cs="Calibri"/>
          <w:bCs/>
        </w:rPr>
        <w:t>På initiativ fra HF og f</w:t>
      </w:r>
      <w:r w:rsidR="000F79A7" w:rsidRPr="00F37776">
        <w:rPr>
          <w:rFonts w:ascii="Georgia" w:hAnsi="Georgia" w:cs="Calibri"/>
          <w:bCs/>
        </w:rPr>
        <w:t xml:space="preserve">aglærerne fra Juss </w:t>
      </w:r>
      <w:r w:rsidRPr="00F37776">
        <w:rPr>
          <w:rFonts w:ascii="Georgia" w:hAnsi="Georgia" w:cs="Calibri"/>
          <w:bCs/>
        </w:rPr>
        <w:t>har</w:t>
      </w:r>
      <w:r w:rsidR="000F79A7" w:rsidRPr="00F37776">
        <w:rPr>
          <w:rFonts w:ascii="Georgia" w:hAnsi="Georgia" w:cs="Calibri"/>
          <w:bCs/>
        </w:rPr>
        <w:t xml:space="preserve"> spørsmålet </w:t>
      </w:r>
      <w:r w:rsidR="008136B9" w:rsidRPr="00F37776">
        <w:rPr>
          <w:rFonts w:ascii="Georgia" w:hAnsi="Georgia" w:cs="Calibri"/>
          <w:bCs/>
        </w:rPr>
        <w:t xml:space="preserve">om </w:t>
      </w:r>
      <w:r w:rsidR="000F79A7" w:rsidRPr="00F37776">
        <w:rPr>
          <w:rFonts w:ascii="Georgia" w:hAnsi="Georgia" w:cs="Calibri"/>
          <w:bCs/>
        </w:rPr>
        <w:t>emnet kan forhåndvedtas til å</w:t>
      </w:r>
      <w:r w:rsidR="008136B9" w:rsidRPr="00F37776">
        <w:rPr>
          <w:rFonts w:ascii="Georgia" w:hAnsi="Georgia" w:cs="Calibri"/>
          <w:bCs/>
        </w:rPr>
        <w:t xml:space="preserve"> inngå i graden Master i rettsvitenskap</w:t>
      </w:r>
      <w:r w:rsidRPr="00F37776">
        <w:rPr>
          <w:rFonts w:ascii="Georgia" w:hAnsi="Georgia" w:cs="Calibri"/>
          <w:bCs/>
        </w:rPr>
        <w:t xml:space="preserve"> kommet opp</w:t>
      </w:r>
      <w:r w:rsidR="008136B9" w:rsidRPr="00F37776">
        <w:rPr>
          <w:rFonts w:ascii="Georgia" w:hAnsi="Georgia" w:cs="Calibri"/>
          <w:bCs/>
        </w:rPr>
        <w:t>.</w:t>
      </w:r>
      <w:r w:rsidRPr="00F37776">
        <w:rPr>
          <w:rFonts w:ascii="Georgia" w:hAnsi="Georgia" w:cs="Calibri"/>
          <w:bCs/>
        </w:rPr>
        <w:t xml:space="preserve"> Tilsvarende ble i 2020</w:t>
      </w:r>
      <w:r w:rsidR="000F79A7" w:rsidRPr="00F37776">
        <w:rPr>
          <w:rFonts w:ascii="Georgia" w:hAnsi="Georgia" w:cs="Calibri"/>
          <w:bCs/>
        </w:rPr>
        <w:t xml:space="preserve"> vedtatt for emnet PSY4315 som tilbys ved Psykologisk institutt ved SV</w:t>
      </w:r>
      <w:r w:rsidR="000F79A7" w:rsidRPr="00F37776">
        <w:rPr>
          <w:rFonts w:cs="Calibri"/>
          <w:bCs/>
        </w:rPr>
        <w:footnoteReference w:id="1"/>
      </w:r>
      <w:r w:rsidR="000F79A7" w:rsidRPr="00F37776">
        <w:rPr>
          <w:rFonts w:ascii="Georgia" w:hAnsi="Georgia" w:cs="Calibri"/>
          <w:bCs/>
        </w:rPr>
        <w:t xml:space="preserve">. </w:t>
      </w:r>
      <w:r w:rsidR="00F37776" w:rsidRPr="00F37776">
        <w:rPr>
          <w:rFonts w:ascii="Georgia" w:hAnsi="Georgia" w:cs="Calibri"/>
          <w:bCs/>
        </w:rPr>
        <w:t>Faglærerne fra Juss vurderte det til at emnet</w:t>
      </w:r>
      <w:r w:rsidR="00F37776">
        <w:rPr>
          <w:rFonts w:ascii="Georgia" w:hAnsi="Georgia" w:cs="Calibri"/>
          <w:bCs/>
        </w:rPr>
        <w:t xml:space="preserve"> </w:t>
      </w:r>
      <w:r w:rsidR="00F37776" w:rsidRPr="00F37776">
        <w:rPr>
          <w:rFonts w:ascii="Georgia" w:hAnsi="Georgia" w:cs="Calibri"/>
          <w:bCs/>
        </w:rPr>
        <w:t xml:space="preserve">har tilstrekkelig </w:t>
      </w:r>
      <w:r w:rsidR="000F79A7" w:rsidRPr="00F37776">
        <w:rPr>
          <w:rFonts w:ascii="Georgia" w:hAnsi="Georgia" w:cs="Calibri"/>
          <w:bCs/>
        </w:rPr>
        <w:t xml:space="preserve">juridisk innhold </w:t>
      </w:r>
    </w:p>
    <w:p w14:paraId="3A3026DF" w14:textId="41C520C7" w:rsidR="00D00FED" w:rsidRPr="00D00FED" w:rsidRDefault="00EA10A7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 w:cs="Calibri"/>
          <w:bCs/>
        </w:rPr>
      </w:pPr>
      <w:r w:rsidRPr="00D00FED">
        <w:rPr>
          <w:rFonts w:ascii="Georgia" w:hAnsi="Georgia" w:cs="Calibri"/>
          <w:bCs/>
        </w:rPr>
        <w:t>Økt tverrfaglighet er et gode</w:t>
      </w:r>
      <w:r w:rsidR="006D775F">
        <w:rPr>
          <w:rFonts w:ascii="Georgia" w:hAnsi="Georgia" w:cs="Calibri"/>
          <w:bCs/>
        </w:rPr>
        <w:t>,</w:t>
      </w:r>
      <w:r w:rsidRPr="00D00FED">
        <w:rPr>
          <w:rFonts w:ascii="Georgia" w:hAnsi="Georgia" w:cs="Calibri"/>
          <w:bCs/>
        </w:rPr>
        <w:t xml:space="preserve"> og i</w:t>
      </w:r>
      <w:r w:rsidR="00951FBC" w:rsidRPr="00D00FED">
        <w:rPr>
          <w:rFonts w:ascii="Georgia" w:hAnsi="Georgia" w:cs="Calibri"/>
          <w:bCs/>
        </w:rPr>
        <w:t>følge faglærerne fra Juss er det stor interesse for retorikk i profesjone</w:t>
      </w:r>
      <w:r w:rsidRPr="00D00FED">
        <w:rPr>
          <w:rFonts w:ascii="Georgia" w:hAnsi="Georgia" w:cs="Calibri"/>
          <w:bCs/>
        </w:rPr>
        <w:t xml:space="preserve">n. Emnet </w:t>
      </w:r>
      <w:r w:rsidR="00F37776">
        <w:rPr>
          <w:rFonts w:ascii="Georgia" w:hAnsi="Georgia" w:cs="Calibri"/>
          <w:bCs/>
        </w:rPr>
        <w:t xml:space="preserve">vil </w:t>
      </w:r>
      <w:r w:rsidRPr="00D00FED">
        <w:rPr>
          <w:rFonts w:ascii="Georgia" w:hAnsi="Georgia" w:cs="Calibri"/>
          <w:bCs/>
        </w:rPr>
        <w:t xml:space="preserve">derfor </w:t>
      </w:r>
      <w:r w:rsidR="00F37776">
        <w:rPr>
          <w:rFonts w:ascii="Georgia" w:hAnsi="Georgia" w:cs="Calibri"/>
          <w:bCs/>
        </w:rPr>
        <w:t>fra faglærernes side anses</w:t>
      </w:r>
      <w:r w:rsidR="006D775F">
        <w:rPr>
          <w:rFonts w:ascii="Georgia" w:hAnsi="Georgia" w:cs="Calibri"/>
          <w:bCs/>
        </w:rPr>
        <w:t xml:space="preserve"> som</w:t>
      </w:r>
      <w:r w:rsidR="00951FBC" w:rsidRPr="00D00FED">
        <w:rPr>
          <w:rFonts w:ascii="Georgia" w:hAnsi="Georgia" w:cs="Calibri"/>
          <w:bCs/>
        </w:rPr>
        <w:t xml:space="preserve"> et v</w:t>
      </w:r>
      <w:r w:rsidR="00DB61CA" w:rsidRPr="00D00FED">
        <w:rPr>
          <w:rFonts w:ascii="Georgia" w:hAnsi="Georgia" w:cs="Calibri"/>
          <w:bCs/>
        </w:rPr>
        <w:t>i</w:t>
      </w:r>
      <w:r w:rsidRPr="00D00FED">
        <w:rPr>
          <w:rFonts w:ascii="Georgia" w:hAnsi="Georgia" w:cs="Calibri"/>
          <w:bCs/>
        </w:rPr>
        <w:t>ktig tilskudd til rettsstudiet. S</w:t>
      </w:r>
      <w:r w:rsidR="00DB61CA" w:rsidRPr="00D00FED">
        <w:rPr>
          <w:rFonts w:ascii="Georgia" w:hAnsi="Georgia" w:cs="Calibri"/>
          <w:bCs/>
        </w:rPr>
        <w:t>e</w:t>
      </w:r>
      <w:r w:rsidR="000F79A7" w:rsidRPr="00D00FED">
        <w:rPr>
          <w:rFonts w:ascii="Georgia" w:hAnsi="Georgia" w:cs="Calibri"/>
          <w:bCs/>
        </w:rPr>
        <w:t xml:space="preserve"> vedlagte</w:t>
      </w:r>
      <w:r w:rsidRPr="00D00FED">
        <w:rPr>
          <w:rFonts w:ascii="Georgia" w:hAnsi="Georgia" w:cs="Calibri"/>
          <w:bCs/>
        </w:rPr>
        <w:t xml:space="preserve"> utdypende faglig vurdering fra Sverre Blandhol. </w:t>
      </w:r>
    </w:p>
    <w:p w14:paraId="6ABD8364" w14:textId="28801FA4" w:rsidR="008C2C91" w:rsidRPr="00D00FED" w:rsidRDefault="00D00FED" w:rsidP="00D00FED">
      <w:pPr>
        <w:pStyle w:val="Header"/>
        <w:numPr>
          <w:ilvl w:val="0"/>
          <w:numId w:val="24"/>
        </w:numPr>
        <w:tabs>
          <w:tab w:val="clear" w:pos="4536"/>
          <w:tab w:val="clear" w:pos="9072"/>
        </w:tabs>
        <w:spacing w:after="120"/>
        <w:ind w:left="357" w:hanging="357"/>
        <w:rPr>
          <w:rFonts w:ascii="Georgia" w:hAnsi="Georgia"/>
        </w:rPr>
      </w:pPr>
      <w:r w:rsidRPr="00D00FED">
        <w:rPr>
          <w:rFonts w:ascii="Georgia" w:hAnsi="Georgia" w:cs="Calibri"/>
          <w:bCs/>
        </w:rPr>
        <w:t>D</w:t>
      </w:r>
      <w:r w:rsidR="008C2C91" w:rsidRPr="00D00FED">
        <w:rPr>
          <w:rFonts w:ascii="Georgia" w:hAnsi="Georgia" w:cs="Calibri"/>
          <w:bCs/>
        </w:rPr>
        <w:t xml:space="preserve">et er en del skepsis til at dette spørsmålet kommer nå etter vedtak om ny valgemneportefølje. Valgemneprosessen har vært en stor prosess som har innebåret krevende beslutninger og konkurranse mellom emner. Det stilles </w:t>
      </w:r>
      <w:r w:rsidR="00EA10A7" w:rsidRPr="00D00FED">
        <w:rPr>
          <w:rFonts w:ascii="Georgia" w:hAnsi="Georgia" w:cs="Calibri"/>
          <w:bCs/>
        </w:rPr>
        <w:t xml:space="preserve">derfor </w:t>
      </w:r>
      <w:r w:rsidR="008C2C91" w:rsidRPr="00D00FED">
        <w:rPr>
          <w:rFonts w:ascii="Georgia" w:hAnsi="Georgia" w:cs="Calibri"/>
          <w:bCs/>
        </w:rPr>
        <w:t xml:space="preserve">spørsmål ved om det er prinsipielt riktig at </w:t>
      </w:r>
      <w:r w:rsidR="00EA10A7" w:rsidRPr="00D00FED">
        <w:rPr>
          <w:rFonts w:ascii="Georgia" w:hAnsi="Georgia" w:cs="Calibri"/>
          <w:bCs/>
        </w:rPr>
        <w:t>fakultetet skal åpne opp for forhåndsgodkjenning av et emne som vil stille i konkurranse med</w:t>
      </w:r>
      <w:r w:rsidR="00EA10A7" w:rsidRPr="00D00FED">
        <w:rPr>
          <w:rFonts w:ascii="Georgia" w:hAnsi="Georgia"/>
        </w:rPr>
        <w:t xml:space="preserve"> emnene som har vært under ny og grundig vurdering gjennom hele 2022. </w:t>
      </w:r>
      <w:r w:rsidR="003A51A2" w:rsidRPr="00D00FED">
        <w:rPr>
          <w:rFonts w:ascii="Georgia" w:hAnsi="Georgia"/>
        </w:rPr>
        <w:t xml:space="preserve"> </w:t>
      </w:r>
      <w:r w:rsidR="008C2C91" w:rsidRPr="00D00FED">
        <w:rPr>
          <w:rFonts w:ascii="Georgia" w:hAnsi="Georgia"/>
        </w:rPr>
        <w:t>Se Katrine Broch Hauges uttalelse vedlagt.</w:t>
      </w:r>
    </w:p>
    <w:p w14:paraId="7BABEE30" w14:textId="08930381" w:rsidR="00EA10A7" w:rsidRPr="00EA10A7" w:rsidRDefault="00EA10A7" w:rsidP="00EA10A7">
      <w:pPr>
        <w:pStyle w:val="Header"/>
        <w:spacing w:before="40"/>
        <w:rPr>
          <w:rFonts w:ascii="Georgia" w:hAnsi="Georgia"/>
          <w:b/>
        </w:rPr>
      </w:pPr>
      <w:r w:rsidRPr="00EA10A7">
        <w:rPr>
          <w:rFonts w:ascii="Georgia" w:hAnsi="Georgia"/>
          <w:b/>
        </w:rPr>
        <w:t>Videre fremdrift</w:t>
      </w:r>
      <w:r>
        <w:rPr>
          <w:rFonts w:ascii="Georgia" w:hAnsi="Georgia"/>
          <w:b/>
        </w:rPr>
        <w:t>:</w:t>
      </w:r>
    </w:p>
    <w:p w14:paraId="0C597EE5" w14:textId="0860A366" w:rsidR="00EA10A7" w:rsidRPr="00D00FED" w:rsidRDefault="00D00FED" w:rsidP="00D00FED">
      <w:pPr>
        <w:pStyle w:val="PlainText"/>
        <w:rPr>
          <w:rFonts w:ascii="Georgia" w:hAnsi="Georgia" w:cs="Times New Roman"/>
        </w:rPr>
      </w:pPr>
      <w:r>
        <w:rPr>
          <w:rFonts w:ascii="Georgia" w:hAnsi="Georgia" w:cs="Times New Roman"/>
        </w:rPr>
        <w:t>Spørsmålet åpner opp for prinsipiell diskusjon om forhåndsgodkjenning av emner som kan inngå i grad utenfor valgemneprosessene og som dermed stiller i konkurranse med emne i valgemneporteføljen, og dernest en konkret vurdering av forslaget.</w:t>
      </w:r>
      <w:r w:rsidR="00EA10A7" w:rsidRPr="00EA10A7">
        <w:rPr>
          <w:rFonts w:ascii="Georgia" w:hAnsi="Georgia" w:cs="Arial"/>
          <w:color w:val="444444"/>
          <w:shd w:val="clear" w:color="auto" w:fill="FFFFFF"/>
        </w:rPr>
        <w:t> </w:t>
      </w:r>
    </w:p>
    <w:p w14:paraId="69BA3884" w14:textId="77777777" w:rsidR="00D00FED" w:rsidRDefault="00D00FED" w:rsidP="00D00FED">
      <w:pPr>
        <w:pStyle w:val="Header"/>
        <w:spacing w:before="40"/>
        <w:rPr>
          <w:rFonts w:ascii="Georgia" w:hAnsi="Georgia"/>
          <w:bCs/>
        </w:rPr>
      </w:pPr>
    </w:p>
    <w:p w14:paraId="25FF1E9E" w14:textId="67DB78E8" w:rsidR="00B679E1" w:rsidRDefault="00B679E1" w:rsidP="00D00FED">
      <w:pPr>
        <w:pStyle w:val="Header"/>
        <w:spacing w:before="40"/>
        <w:rPr>
          <w:rFonts w:ascii="Georgia" w:hAnsi="Georgia" w:cs="Calibri"/>
          <w:b/>
        </w:rPr>
      </w:pPr>
      <w:r w:rsidRPr="00B679E1">
        <w:rPr>
          <w:rFonts w:ascii="Georgia" w:hAnsi="Georgia" w:cs="Calibri"/>
          <w:b/>
        </w:rPr>
        <w:t>Forslag til vedtak:</w:t>
      </w:r>
    </w:p>
    <w:p w14:paraId="47464BAB" w14:textId="1A46A5BB" w:rsidR="00B679E1" w:rsidRDefault="008E5BED" w:rsidP="008E5BED">
      <w:pPr>
        <w:pStyle w:val="Header"/>
        <w:numPr>
          <w:ilvl w:val="0"/>
          <w:numId w:val="28"/>
        </w:numPr>
        <w:spacing w:before="40"/>
        <w:rPr>
          <w:rFonts w:ascii="Georgia" w:hAnsi="Georgia" w:cs="Calibri"/>
        </w:rPr>
      </w:pPr>
      <w:r w:rsidRPr="008E5BED">
        <w:rPr>
          <w:rFonts w:ascii="Georgia" w:hAnsi="Georgia" w:cs="Calibri"/>
        </w:rPr>
        <w:t>Alternativ 1</w:t>
      </w:r>
      <w:r>
        <w:rPr>
          <w:rFonts w:ascii="Georgia" w:hAnsi="Georgia" w:cs="Calibri"/>
        </w:rPr>
        <w:t xml:space="preserve">: Studenter på Master i rettsvitenskap som ønsker å avlegge emnet </w:t>
      </w:r>
      <w:r w:rsidR="00817EB3">
        <w:rPr>
          <w:rFonts w:ascii="Georgia" w:hAnsi="Georgia" w:cs="Calibri"/>
        </w:rPr>
        <w:t xml:space="preserve">RETKOM2107/4107 </w:t>
      </w:r>
      <w:r>
        <w:rPr>
          <w:rFonts w:ascii="Georgia" w:hAnsi="Georgia" w:cs="Calibri"/>
        </w:rPr>
        <w:t xml:space="preserve">må søke om godkjenning enkeltvis for å få dette inn i graden. </w:t>
      </w:r>
    </w:p>
    <w:p w14:paraId="4666C46E" w14:textId="77777777" w:rsidR="000F79A7" w:rsidRDefault="000F79A7" w:rsidP="000F79A7">
      <w:pPr>
        <w:pStyle w:val="Header"/>
        <w:spacing w:before="40"/>
        <w:ind w:left="720"/>
        <w:rPr>
          <w:rFonts w:ascii="Georgia" w:hAnsi="Georgia" w:cs="Calibri"/>
        </w:rPr>
      </w:pPr>
    </w:p>
    <w:p w14:paraId="3AFC2C50" w14:textId="5A46C8CC" w:rsidR="008E5BED" w:rsidRDefault="008E5BED" w:rsidP="008E5BED">
      <w:pPr>
        <w:pStyle w:val="Header"/>
        <w:numPr>
          <w:ilvl w:val="0"/>
          <w:numId w:val="28"/>
        </w:numPr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 xml:space="preserve">Alternativ 2: </w:t>
      </w:r>
      <w:r w:rsidRPr="004757DA">
        <w:rPr>
          <w:rFonts w:ascii="Georgia" w:hAnsi="Georgia" w:cs="Calibri"/>
        </w:rPr>
        <w:t xml:space="preserve">Emnet </w:t>
      </w:r>
      <w:r>
        <w:rPr>
          <w:rFonts w:ascii="Georgia" w:hAnsi="Georgia" w:cs="Calibri"/>
        </w:rPr>
        <w:t>RETKOM2107/4107</w:t>
      </w:r>
      <w:r w:rsidRPr="004757DA">
        <w:rPr>
          <w:rFonts w:ascii="Georgia" w:hAnsi="Georgia" w:cs="Calibri"/>
        </w:rPr>
        <w:t xml:space="preserve"> godkjennes som et valgemne på masternivå i masterstudiet i rettsvitenskap.  </w:t>
      </w:r>
    </w:p>
    <w:p w14:paraId="6ED1C8C4" w14:textId="5AD6EDA7" w:rsidR="00B679E1" w:rsidRDefault="00B679E1" w:rsidP="00B679E1">
      <w:pPr>
        <w:pStyle w:val="Header"/>
        <w:spacing w:before="40"/>
        <w:rPr>
          <w:rFonts w:ascii="Georgia" w:hAnsi="Georgia" w:cs="Calibri"/>
        </w:rPr>
      </w:pPr>
    </w:p>
    <w:p w14:paraId="02680606" w14:textId="77777777" w:rsidR="00F37776" w:rsidRDefault="00F37776" w:rsidP="00B679E1">
      <w:pPr>
        <w:pStyle w:val="Header"/>
        <w:spacing w:before="40"/>
        <w:rPr>
          <w:rFonts w:ascii="Georgia" w:hAnsi="Georgia" w:cs="Calibri"/>
        </w:rPr>
      </w:pPr>
      <w:bookmarkStart w:id="0" w:name="_GoBack"/>
      <w:bookmarkEnd w:id="0"/>
    </w:p>
    <w:p w14:paraId="01100BC1" w14:textId="77777777" w:rsidR="00B679E1" w:rsidRPr="00F52286" w:rsidRDefault="00B679E1" w:rsidP="00C76AD5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  <w:lang w:val="da-DK"/>
        </w:rPr>
      </w:pPr>
      <w:r>
        <w:rPr>
          <w:rFonts w:ascii="Georgia" w:hAnsi="Georgia"/>
          <w:bCs/>
          <w:lang w:val="da-DK"/>
        </w:rPr>
        <w:t>____________________________________________________________________</w:t>
      </w:r>
    </w:p>
    <w:p w14:paraId="5F9FAB07" w14:textId="77777777" w:rsidR="00B679E1" w:rsidRDefault="00C76AD5" w:rsidP="00B679E1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Vedlegg</w:t>
      </w:r>
    </w:p>
    <w:p w14:paraId="0B710310" w14:textId="075C3F54" w:rsidR="00B679E1" w:rsidRDefault="00652066" w:rsidP="008B559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Emnebeskrivelse</w:t>
      </w:r>
    </w:p>
    <w:p w14:paraId="78F62964" w14:textId="351D7D55" w:rsidR="00DB61CA" w:rsidRDefault="00DB61CA" w:rsidP="008B559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Faglig vurdering av emnet</w:t>
      </w:r>
    </w:p>
    <w:p w14:paraId="3A2D8CF4" w14:textId="178D4C74" w:rsidR="00652066" w:rsidRPr="008B5592" w:rsidRDefault="00DB61CA" w:rsidP="008B5592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spacing w:before="40" w:after="2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A</w:t>
      </w:r>
      <w:r w:rsidR="00652066">
        <w:rPr>
          <w:rFonts w:ascii="Georgia" w:hAnsi="Georgia" w:cs="Calibri"/>
          <w:bCs/>
        </w:rPr>
        <w:t>v</w:t>
      </w:r>
      <w:r>
        <w:rPr>
          <w:rFonts w:ascii="Georgia" w:hAnsi="Georgia" w:cs="Calibri"/>
          <w:bCs/>
        </w:rPr>
        <w:t xml:space="preserve">tale om undervisningsressurser </w:t>
      </w:r>
    </w:p>
    <w:p w14:paraId="098F41C0" w14:textId="77777777" w:rsidR="00B679E1" w:rsidRDefault="00B679E1" w:rsidP="00B679E1">
      <w:pPr>
        <w:pStyle w:val="Header"/>
        <w:spacing w:before="40"/>
        <w:rPr>
          <w:rFonts w:ascii="Georgia" w:hAnsi="Georgia" w:cs="Calibri"/>
          <w:bCs/>
        </w:rPr>
      </w:pPr>
    </w:p>
    <w:sectPr w:rsidR="00B679E1" w:rsidSect="007A0C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7B74A" w16cid:durableId="27C1AE6E"/>
  <w16cid:commentId w16cid:paraId="44D43414" w16cid:durableId="27C1F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C216" w14:textId="77777777" w:rsidR="006F3011" w:rsidRDefault="006F3011" w:rsidP="006F2626">
      <w:pPr>
        <w:spacing w:after="0" w:line="240" w:lineRule="auto"/>
      </w:pPr>
      <w:r>
        <w:separator/>
      </w:r>
    </w:p>
  </w:endnote>
  <w:endnote w:type="continuationSeparator" w:id="0">
    <w:p w14:paraId="590FD2EE" w14:textId="77777777" w:rsidR="006F3011" w:rsidRDefault="006F301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C961" w14:textId="77777777" w:rsidR="00A51CCE" w:rsidRPr="004416D1" w:rsidRDefault="00A51CC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A51CCE" w:rsidRPr="00296BD0" w14:paraId="62D7A331" w14:textId="77777777" w:rsidTr="006F2385">
      <w:trPr>
        <w:trHeight w:hRule="exact" w:val="1219"/>
      </w:trPr>
      <w:tc>
        <w:tcPr>
          <w:tcW w:w="8221" w:type="dxa"/>
        </w:tcPr>
        <w:p w14:paraId="75D76200" w14:textId="77777777" w:rsidR="00A51CCE" w:rsidRPr="00296BD0" w:rsidRDefault="00A51CCE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59C7F1F" w14:textId="77777777" w:rsidR="00A51CCE" w:rsidRPr="00296BD0" w:rsidRDefault="00A51CC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0D12EA64" wp14:editId="636CDA7F">
          <wp:simplePos x="0" y="0"/>
          <wp:positionH relativeFrom="margin">
            <wp:align>right</wp:align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29A2" w14:textId="77777777" w:rsidR="006F3011" w:rsidRDefault="006F3011" w:rsidP="006F2626">
      <w:pPr>
        <w:spacing w:after="0" w:line="240" w:lineRule="auto"/>
      </w:pPr>
      <w:r>
        <w:separator/>
      </w:r>
    </w:p>
  </w:footnote>
  <w:footnote w:type="continuationSeparator" w:id="0">
    <w:p w14:paraId="2DF7E7AE" w14:textId="77777777" w:rsidR="006F3011" w:rsidRDefault="006F3011" w:rsidP="006F2626">
      <w:pPr>
        <w:spacing w:after="0" w:line="240" w:lineRule="auto"/>
      </w:pPr>
      <w:r>
        <w:continuationSeparator/>
      </w:r>
    </w:p>
  </w:footnote>
  <w:footnote w:id="1">
    <w:p w14:paraId="422B8FC3" w14:textId="48592D2B" w:rsidR="000F79A7" w:rsidRDefault="000F79A7">
      <w:pPr>
        <w:pStyle w:val="FootnoteText"/>
      </w:pPr>
      <w:r>
        <w:rPr>
          <w:rStyle w:val="FootnoteReference"/>
        </w:rPr>
        <w:footnoteRef/>
      </w:r>
      <w:r>
        <w:t xml:space="preserve"> Se sak 6: </w:t>
      </w:r>
      <w:hyperlink r:id="rId1" w:history="1">
        <w:r w:rsidRPr="00CE4F62">
          <w:rPr>
            <w:rStyle w:val="Hyperlink"/>
          </w:rPr>
          <w:t>https://www.uio.no/for-ansatte/enhetssider/jus/ledelses-og-utvalgsmoter/pmr/moter/2020/pmr1/sakskart.html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D466" w14:textId="22F9D55F" w:rsidR="00A51CCE" w:rsidRPr="00AC4272" w:rsidRDefault="00A51CC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09563A1" wp14:editId="2E1C1B4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F37776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A51CCE" w:rsidRPr="00CB1F83" w14:paraId="1302ECE6" w14:textId="77777777" w:rsidTr="00C70BC3">
      <w:tc>
        <w:tcPr>
          <w:tcW w:w="7791" w:type="dxa"/>
        </w:tcPr>
        <w:p w14:paraId="0C7FFD78" w14:textId="77777777" w:rsidR="00A51CCE" w:rsidRPr="00A6739A" w:rsidRDefault="00A51CCE" w:rsidP="00B679E1">
          <w:pPr>
            <w:pStyle w:val="Topptekstlinje1"/>
          </w:pPr>
          <w:r>
            <w:t xml:space="preserve">Det juridiske 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7456" behindDoc="1" locked="1" layoutInCell="1" allowOverlap="1" wp14:anchorId="074FACD8" wp14:editId="16A68E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fakultet</w:t>
          </w:r>
        </w:p>
      </w:tc>
      <w:tc>
        <w:tcPr>
          <w:tcW w:w="0" w:type="auto"/>
        </w:tcPr>
        <w:p w14:paraId="252B8E68" w14:textId="77777777" w:rsidR="00A51CCE" w:rsidRPr="00A6739A" w:rsidRDefault="00A51CCE" w:rsidP="00C70BC3">
          <w:pPr>
            <w:pStyle w:val="Topptekstlinje1"/>
            <w:jc w:val="right"/>
          </w:pPr>
          <w:r>
            <w:t>Notat</w:t>
          </w:r>
        </w:p>
      </w:tc>
    </w:tr>
    <w:tr w:rsidR="00A51CCE" w14:paraId="2436D9CC" w14:textId="77777777" w:rsidTr="005F6C42">
      <w:tc>
        <w:tcPr>
          <w:tcW w:w="8890" w:type="dxa"/>
          <w:gridSpan w:val="2"/>
        </w:tcPr>
        <w:p w14:paraId="7246E11C" w14:textId="77777777" w:rsidR="00A51CCE" w:rsidRDefault="00A51CCE" w:rsidP="00FB462F">
          <w:pPr>
            <w:pStyle w:val="Topptekstlinje2"/>
          </w:pPr>
        </w:p>
      </w:tc>
    </w:tr>
  </w:tbl>
  <w:p w14:paraId="674E2CDE" w14:textId="77777777" w:rsidR="00A51CCE" w:rsidRDefault="00A51CCE" w:rsidP="00442F10">
    <w:pPr>
      <w:pStyle w:val="Header"/>
      <w:ind w:left="964"/>
      <w:rPr>
        <w:rFonts w:ascii="Georgia" w:hAnsi="Georgia"/>
      </w:rPr>
    </w:pPr>
  </w:p>
  <w:p w14:paraId="3D1C1E9C" w14:textId="77777777" w:rsidR="00A51CCE" w:rsidRPr="00AA7420" w:rsidRDefault="00A51CC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EB46DAF" wp14:editId="3AE08F1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53DF42BF" wp14:editId="371072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B2C"/>
    <w:multiLevelType w:val="hybridMultilevel"/>
    <w:tmpl w:val="94E22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F1A16"/>
    <w:multiLevelType w:val="hybridMultilevel"/>
    <w:tmpl w:val="CD527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C0F0D"/>
    <w:multiLevelType w:val="hybridMultilevel"/>
    <w:tmpl w:val="926CA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16EB"/>
    <w:multiLevelType w:val="hybridMultilevel"/>
    <w:tmpl w:val="CC9A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6438"/>
    <w:multiLevelType w:val="hybridMultilevel"/>
    <w:tmpl w:val="465EDB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4A4322"/>
    <w:multiLevelType w:val="hybridMultilevel"/>
    <w:tmpl w:val="1CE6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3D7"/>
    <w:multiLevelType w:val="hybridMultilevel"/>
    <w:tmpl w:val="70029E6C"/>
    <w:lvl w:ilvl="0" w:tplc="370C34A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0AE4"/>
    <w:multiLevelType w:val="hybridMultilevel"/>
    <w:tmpl w:val="06FE8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5CD"/>
    <w:multiLevelType w:val="hybridMultilevel"/>
    <w:tmpl w:val="C94AC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264"/>
    <w:multiLevelType w:val="hybridMultilevel"/>
    <w:tmpl w:val="EB3AA154"/>
    <w:lvl w:ilvl="0" w:tplc="F5A0A5B6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0188F"/>
    <w:multiLevelType w:val="hybridMultilevel"/>
    <w:tmpl w:val="B49A0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56BE0"/>
    <w:multiLevelType w:val="hybridMultilevel"/>
    <w:tmpl w:val="6E2E7D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8"/>
  </w:num>
  <w:num w:numId="5">
    <w:abstractNumId w:val="25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3"/>
  </w:num>
  <w:num w:numId="20">
    <w:abstractNumId w:val="16"/>
  </w:num>
  <w:num w:numId="21">
    <w:abstractNumId w:val="20"/>
  </w:num>
  <w:num w:numId="22">
    <w:abstractNumId w:val="7"/>
  </w:num>
  <w:num w:numId="23">
    <w:abstractNumId w:val="27"/>
  </w:num>
  <w:num w:numId="24">
    <w:abstractNumId w:val="18"/>
  </w:num>
  <w:num w:numId="25">
    <w:abstractNumId w:val="0"/>
  </w:num>
  <w:num w:numId="26">
    <w:abstractNumId w:val="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25304"/>
    <w:rsid w:val="00032347"/>
    <w:rsid w:val="00051671"/>
    <w:rsid w:val="000532F9"/>
    <w:rsid w:val="00056B4A"/>
    <w:rsid w:val="0006052A"/>
    <w:rsid w:val="000711C4"/>
    <w:rsid w:val="00072CB0"/>
    <w:rsid w:val="0007315A"/>
    <w:rsid w:val="0008332E"/>
    <w:rsid w:val="000838D4"/>
    <w:rsid w:val="0009698E"/>
    <w:rsid w:val="000C5602"/>
    <w:rsid w:val="000C5ED5"/>
    <w:rsid w:val="000D7369"/>
    <w:rsid w:val="000E150F"/>
    <w:rsid w:val="000E66F6"/>
    <w:rsid w:val="000F0204"/>
    <w:rsid w:val="000F79A7"/>
    <w:rsid w:val="00121A68"/>
    <w:rsid w:val="00140BE6"/>
    <w:rsid w:val="00147EC9"/>
    <w:rsid w:val="0015594E"/>
    <w:rsid w:val="0016697A"/>
    <w:rsid w:val="00170244"/>
    <w:rsid w:val="001722C3"/>
    <w:rsid w:val="00174BF1"/>
    <w:rsid w:val="00191B74"/>
    <w:rsid w:val="00191F33"/>
    <w:rsid w:val="001A20C3"/>
    <w:rsid w:val="001A43FF"/>
    <w:rsid w:val="001A63F3"/>
    <w:rsid w:val="001B389C"/>
    <w:rsid w:val="001C3144"/>
    <w:rsid w:val="001C53D1"/>
    <w:rsid w:val="001D1DF2"/>
    <w:rsid w:val="001E1FD6"/>
    <w:rsid w:val="001F2CDA"/>
    <w:rsid w:val="00201362"/>
    <w:rsid w:val="00202A26"/>
    <w:rsid w:val="00203485"/>
    <w:rsid w:val="00204F25"/>
    <w:rsid w:val="0020706A"/>
    <w:rsid w:val="002308E6"/>
    <w:rsid w:val="00230B69"/>
    <w:rsid w:val="00235A17"/>
    <w:rsid w:val="002426B5"/>
    <w:rsid w:val="00243B3D"/>
    <w:rsid w:val="00245C77"/>
    <w:rsid w:val="002535E6"/>
    <w:rsid w:val="00261A25"/>
    <w:rsid w:val="00274926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01F1"/>
    <w:rsid w:val="002E52AC"/>
    <w:rsid w:val="002E5380"/>
    <w:rsid w:val="002F148C"/>
    <w:rsid w:val="002F1CC7"/>
    <w:rsid w:val="002F4F99"/>
    <w:rsid w:val="00311D62"/>
    <w:rsid w:val="003126C3"/>
    <w:rsid w:val="003157B3"/>
    <w:rsid w:val="0031741E"/>
    <w:rsid w:val="003256EB"/>
    <w:rsid w:val="0032641E"/>
    <w:rsid w:val="00326DE7"/>
    <w:rsid w:val="00332A21"/>
    <w:rsid w:val="0034097E"/>
    <w:rsid w:val="00340EA5"/>
    <w:rsid w:val="003511B2"/>
    <w:rsid w:val="00381B02"/>
    <w:rsid w:val="00385FD5"/>
    <w:rsid w:val="00386070"/>
    <w:rsid w:val="003A51A2"/>
    <w:rsid w:val="003A7014"/>
    <w:rsid w:val="003A733F"/>
    <w:rsid w:val="003B4B8A"/>
    <w:rsid w:val="003C4C4D"/>
    <w:rsid w:val="003F69BD"/>
    <w:rsid w:val="004008F0"/>
    <w:rsid w:val="00412561"/>
    <w:rsid w:val="004213D6"/>
    <w:rsid w:val="00422001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57DA"/>
    <w:rsid w:val="00476F16"/>
    <w:rsid w:val="00477193"/>
    <w:rsid w:val="00483FE9"/>
    <w:rsid w:val="00485ABD"/>
    <w:rsid w:val="0049282A"/>
    <w:rsid w:val="004A1052"/>
    <w:rsid w:val="004A2CF1"/>
    <w:rsid w:val="004B09F6"/>
    <w:rsid w:val="004B23DA"/>
    <w:rsid w:val="004B4352"/>
    <w:rsid w:val="004B6046"/>
    <w:rsid w:val="004D1601"/>
    <w:rsid w:val="004D63A6"/>
    <w:rsid w:val="004D7000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75EB"/>
    <w:rsid w:val="00582B29"/>
    <w:rsid w:val="005A45D4"/>
    <w:rsid w:val="005B5887"/>
    <w:rsid w:val="005D28E7"/>
    <w:rsid w:val="005D29D9"/>
    <w:rsid w:val="005E0D18"/>
    <w:rsid w:val="005E7D6B"/>
    <w:rsid w:val="005F1600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348B"/>
    <w:rsid w:val="00646C8D"/>
    <w:rsid w:val="006513AB"/>
    <w:rsid w:val="00652066"/>
    <w:rsid w:val="00652647"/>
    <w:rsid w:val="006764CB"/>
    <w:rsid w:val="0069792F"/>
    <w:rsid w:val="006A78E4"/>
    <w:rsid w:val="006B2A25"/>
    <w:rsid w:val="006B4359"/>
    <w:rsid w:val="006C1E6E"/>
    <w:rsid w:val="006C4552"/>
    <w:rsid w:val="006D775F"/>
    <w:rsid w:val="006F2385"/>
    <w:rsid w:val="006F2626"/>
    <w:rsid w:val="006F3011"/>
    <w:rsid w:val="006F5413"/>
    <w:rsid w:val="006F5DDA"/>
    <w:rsid w:val="00704AEE"/>
    <w:rsid w:val="00707411"/>
    <w:rsid w:val="007165D3"/>
    <w:rsid w:val="0072108B"/>
    <w:rsid w:val="007227B2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2E4E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136B9"/>
    <w:rsid w:val="00817830"/>
    <w:rsid w:val="00817EB3"/>
    <w:rsid w:val="00824F21"/>
    <w:rsid w:val="008459CA"/>
    <w:rsid w:val="00851BF9"/>
    <w:rsid w:val="00856A20"/>
    <w:rsid w:val="008766DC"/>
    <w:rsid w:val="00881DF3"/>
    <w:rsid w:val="00883A2A"/>
    <w:rsid w:val="008912B6"/>
    <w:rsid w:val="00892AA3"/>
    <w:rsid w:val="008A260D"/>
    <w:rsid w:val="008A6AA7"/>
    <w:rsid w:val="008B5592"/>
    <w:rsid w:val="008C2C91"/>
    <w:rsid w:val="008C43B7"/>
    <w:rsid w:val="008D4F3B"/>
    <w:rsid w:val="008D547F"/>
    <w:rsid w:val="008D588F"/>
    <w:rsid w:val="008E5BED"/>
    <w:rsid w:val="00900188"/>
    <w:rsid w:val="00921DBC"/>
    <w:rsid w:val="009245AE"/>
    <w:rsid w:val="00931C69"/>
    <w:rsid w:val="00932FA4"/>
    <w:rsid w:val="009471ED"/>
    <w:rsid w:val="0095053A"/>
    <w:rsid w:val="00951FBC"/>
    <w:rsid w:val="00957618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201B4"/>
    <w:rsid w:val="00A203E8"/>
    <w:rsid w:val="00A2381F"/>
    <w:rsid w:val="00A26F5B"/>
    <w:rsid w:val="00A40D47"/>
    <w:rsid w:val="00A4466F"/>
    <w:rsid w:val="00A46423"/>
    <w:rsid w:val="00A51CCE"/>
    <w:rsid w:val="00A62B82"/>
    <w:rsid w:val="00A6739A"/>
    <w:rsid w:val="00A7494C"/>
    <w:rsid w:val="00A83BEE"/>
    <w:rsid w:val="00A83E93"/>
    <w:rsid w:val="00A86352"/>
    <w:rsid w:val="00A90307"/>
    <w:rsid w:val="00A93757"/>
    <w:rsid w:val="00AA7420"/>
    <w:rsid w:val="00AB27CF"/>
    <w:rsid w:val="00AB4890"/>
    <w:rsid w:val="00AC4272"/>
    <w:rsid w:val="00AC4CE4"/>
    <w:rsid w:val="00AD341F"/>
    <w:rsid w:val="00AD419F"/>
    <w:rsid w:val="00AE46FF"/>
    <w:rsid w:val="00AE6604"/>
    <w:rsid w:val="00AF4549"/>
    <w:rsid w:val="00B43027"/>
    <w:rsid w:val="00B679E1"/>
    <w:rsid w:val="00B74C8D"/>
    <w:rsid w:val="00B74EE1"/>
    <w:rsid w:val="00B77917"/>
    <w:rsid w:val="00B93ADD"/>
    <w:rsid w:val="00BB5CDD"/>
    <w:rsid w:val="00BC3E29"/>
    <w:rsid w:val="00BE2551"/>
    <w:rsid w:val="00BE2E77"/>
    <w:rsid w:val="00C1454B"/>
    <w:rsid w:val="00C1524A"/>
    <w:rsid w:val="00C23CF2"/>
    <w:rsid w:val="00C247D6"/>
    <w:rsid w:val="00C35F14"/>
    <w:rsid w:val="00C37D1F"/>
    <w:rsid w:val="00C456E0"/>
    <w:rsid w:val="00C55623"/>
    <w:rsid w:val="00C70B56"/>
    <w:rsid w:val="00C70BC3"/>
    <w:rsid w:val="00C76AD5"/>
    <w:rsid w:val="00C805E3"/>
    <w:rsid w:val="00C80F67"/>
    <w:rsid w:val="00C820B6"/>
    <w:rsid w:val="00C949CD"/>
    <w:rsid w:val="00C961D5"/>
    <w:rsid w:val="00CA2B07"/>
    <w:rsid w:val="00CB0094"/>
    <w:rsid w:val="00CB2D5A"/>
    <w:rsid w:val="00CB3FAA"/>
    <w:rsid w:val="00CD1390"/>
    <w:rsid w:val="00CD16CE"/>
    <w:rsid w:val="00CD188B"/>
    <w:rsid w:val="00CE709C"/>
    <w:rsid w:val="00D00FED"/>
    <w:rsid w:val="00D12D3F"/>
    <w:rsid w:val="00D2194F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B61CA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E03603"/>
    <w:rsid w:val="00E101E9"/>
    <w:rsid w:val="00E77FDC"/>
    <w:rsid w:val="00E8120C"/>
    <w:rsid w:val="00E86121"/>
    <w:rsid w:val="00E918EE"/>
    <w:rsid w:val="00E977AE"/>
    <w:rsid w:val="00EA10A7"/>
    <w:rsid w:val="00EA1493"/>
    <w:rsid w:val="00EA326E"/>
    <w:rsid w:val="00EA4804"/>
    <w:rsid w:val="00EC503D"/>
    <w:rsid w:val="00ED3C76"/>
    <w:rsid w:val="00ED4B1A"/>
    <w:rsid w:val="00EE6F9C"/>
    <w:rsid w:val="00EF0150"/>
    <w:rsid w:val="00EF541D"/>
    <w:rsid w:val="00EF54C6"/>
    <w:rsid w:val="00F00100"/>
    <w:rsid w:val="00F023F3"/>
    <w:rsid w:val="00F071AC"/>
    <w:rsid w:val="00F14743"/>
    <w:rsid w:val="00F26702"/>
    <w:rsid w:val="00F27883"/>
    <w:rsid w:val="00F36B6B"/>
    <w:rsid w:val="00F37776"/>
    <w:rsid w:val="00F452C4"/>
    <w:rsid w:val="00F52286"/>
    <w:rsid w:val="00F54A1E"/>
    <w:rsid w:val="00F96B48"/>
    <w:rsid w:val="00FA06C0"/>
    <w:rsid w:val="00FA6EFF"/>
    <w:rsid w:val="00FB462F"/>
    <w:rsid w:val="00FD3D9D"/>
    <w:rsid w:val="00FD4641"/>
    <w:rsid w:val="00FE0682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A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15594E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A20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1F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FBC"/>
    <w:rPr>
      <w:rFonts w:eastAsiaTheme="minorHAns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9A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7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79A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D775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o.no/for-ansatte/enhetssider/jus/ledelses-og-utvalgsmoter/pmr/moter/2020/pmr1/sakska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1438-50EF-4F38-91FC-104830C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2818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2023-03-20T21:50:00Z</dcterms:created>
  <dcterms:modified xsi:type="dcterms:W3CDTF">2023-03-20T21:50:00Z</dcterms:modified>
</cp:coreProperties>
</file>