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8375" w14:textId="682E869D" w:rsidR="00726954" w:rsidRPr="00726954" w:rsidRDefault="00726954">
      <w:pPr>
        <w:rPr>
          <w:rFonts w:ascii="Georgia" w:hAnsi="Georgia"/>
          <w:b/>
          <w:bCs/>
          <w:sz w:val="28"/>
          <w:szCs w:val="28"/>
          <w:lang w:val="nb-NO"/>
        </w:rPr>
      </w:pPr>
      <w:r w:rsidRPr="00726954">
        <w:rPr>
          <w:rFonts w:ascii="Georgia" w:hAnsi="Georgia"/>
          <w:b/>
          <w:bCs/>
          <w:sz w:val="28"/>
          <w:szCs w:val="28"/>
          <w:lang w:val="nb-NO"/>
        </w:rPr>
        <w:t xml:space="preserve">Regelverk og retningslinjer for godskriving av eksterne emner. </w:t>
      </w:r>
    </w:p>
    <w:p w14:paraId="7C9C8C5B" w14:textId="77777777" w:rsidR="00726954" w:rsidRPr="00726954" w:rsidRDefault="00726954" w:rsidP="00726954">
      <w:pPr>
        <w:pStyle w:val="Topptekst"/>
        <w:spacing w:before="40"/>
        <w:rPr>
          <w:rFonts w:ascii="Georgia" w:hAnsi="Georgia" w:cs="Calibri"/>
          <w:b/>
          <w:bCs/>
        </w:rPr>
      </w:pPr>
    </w:p>
    <w:p w14:paraId="1CC182A3" w14:textId="77777777" w:rsidR="00726954" w:rsidRPr="00726954" w:rsidRDefault="00726954" w:rsidP="00726954">
      <w:pPr>
        <w:pStyle w:val="Topptekst"/>
        <w:numPr>
          <w:ilvl w:val="0"/>
          <w:numId w:val="1"/>
        </w:numPr>
        <w:spacing w:before="40"/>
        <w:rPr>
          <w:rFonts w:ascii="Georgia" w:hAnsi="Georgia"/>
          <w:bCs/>
          <w:u w:val="single"/>
        </w:rPr>
      </w:pPr>
      <w:r w:rsidRPr="00726954">
        <w:rPr>
          <w:rFonts w:ascii="Georgia" w:hAnsi="Georgia"/>
          <w:bCs/>
          <w:u w:val="single"/>
        </w:rPr>
        <w:t>Forskrift om studier og eksamener ved UiO, § 3-5:</w:t>
      </w:r>
    </w:p>
    <w:p w14:paraId="46BD5931" w14:textId="68C02FDA" w:rsidR="00726954" w:rsidRDefault="00726954" w:rsidP="008926AB">
      <w:pPr>
        <w:pStyle w:val="Topptekst"/>
        <w:numPr>
          <w:ilvl w:val="0"/>
          <w:numId w:val="5"/>
        </w:numPr>
        <w:spacing w:before="40"/>
        <w:rPr>
          <w:rFonts w:ascii="Georgia" w:hAnsi="Georgia"/>
          <w:bCs/>
        </w:rPr>
      </w:pPr>
      <w:r w:rsidRPr="00726954">
        <w:rPr>
          <w:rFonts w:ascii="Georgia" w:hAnsi="Georgia"/>
          <w:bCs/>
        </w:rPr>
        <w:t>Fakultetet avgjør søknad om bruk av annen/tidligere utdanning fra Universitetet i Oslo som del av utdanning som gis ved fakultetet.</w:t>
      </w:r>
    </w:p>
    <w:p w14:paraId="60F66CFE" w14:textId="77777777" w:rsidR="008926AB" w:rsidRPr="00726954" w:rsidRDefault="008926AB" w:rsidP="008926AB">
      <w:pPr>
        <w:pStyle w:val="Topptekst"/>
        <w:spacing w:before="40"/>
        <w:ind w:left="720"/>
        <w:rPr>
          <w:rFonts w:ascii="Georgia" w:hAnsi="Georgia"/>
          <w:bCs/>
        </w:rPr>
      </w:pPr>
    </w:p>
    <w:p w14:paraId="69138C8F" w14:textId="34614889" w:rsidR="00726954" w:rsidRDefault="00726954" w:rsidP="008926AB">
      <w:pPr>
        <w:pStyle w:val="Topptekst"/>
        <w:numPr>
          <w:ilvl w:val="0"/>
          <w:numId w:val="5"/>
        </w:numPr>
        <w:spacing w:before="40"/>
        <w:rPr>
          <w:rFonts w:ascii="Georgia" w:hAnsi="Georgia"/>
          <w:bCs/>
        </w:rPr>
      </w:pPr>
      <w:r w:rsidRPr="00726954">
        <w:rPr>
          <w:rFonts w:ascii="Georgia" w:hAnsi="Georgia"/>
          <w:bCs/>
        </w:rPr>
        <w:t>Fakultetet avgjør søknad om godskriving av utdanning fra andre institusjoner som går inn under UH-loven av 1. april 2005 som del av utdanning som gis ved fakultetet</w:t>
      </w:r>
      <w:r w:rsidR="008926AB">
        <w:rPr>
          <w:rFonts w:ascii="Georgia" w:hAnsi="Georgia"/>
          <w:bCs/>
        </w:rPr>
        <w:t>.</w:t>
      </w:r>
    </w:p>
    <w:p w14:paraId="246E3E85" w14:textId="77777777" w:rsidR="008926AB" w:rsidRPr="00726954" w:rsidRDefault="008926AB" w:rsidP="00852F10">
      <w:pPr>
        <w:pStyle w:val="Topptekst"/>
        <w:spacing w:before="40"/>
        <w:rPr>
          <w:rFonts w:ascii="Georgia" w:hAnsi="Georgia"/>
          <w:bCs/>
        </w:rPr>
      </w:pPr>
    </w:p>
    <w:p w14:paraId="2E042909" w14:textId="32181CAE" w:rsidR="00726954" w:rsidRDefault="00726954" w:rsidP="008926AB">
      <w:pPr>
        <w:pStyle w:val="Topptekst"/>
        <w:numPr>
          <w:ilvl w:val="0"/>
          <w:numId w:val="5"/>
        </w:numPr>
        <w:spacing w:before="40"/>
        <w:rPr>
          <w:rFonts w:ascii="Georgia" w:hAnsi="Georgia"/>
          <w:bCs/>
        </w:rPr>
      </w:pPr>
      <w:r w:rsidRPr="00726954">
        <w:rPr>
          <w:rFonts w:ascii="Georgia" w:hAnsi="Georgia"/>
          <w:bCs/>
        </w:rPr>
        <w:t>Fakultetet avgjør søknad om fritak for deler av utdanning som tilbys ved fakultetet på grunnlag av annen velegnet eksamen eller prøve. Dokumentasjon av realkompetanse kan også gi grunnlag for fritak.</w:t>
      </w:r>
    </w:p>
    <w:p w14:paraId="34BF832D" w14:textId="77777777" w:rsidR="008926AB" w:rsidRPr="00726954" w:rsidRDefault="008926AB" w:rsidP="008926AB">
      <w:pPr>
        <w:pStyle w:val="Topptekst"/>
        <w:spacing w:before="40"/>
        <w:ind w:left="720"/>
        <w:rPr>
          <w:rFonts w:ascii="Georgia" w:hAnsi="Georgia"/>
          <w:bCs/>
        </w:rPr>
      </w:pPr>
    </w:p>
    <w:p w14:paraId="70A70500" w14:textId="2B724575" w:rsidR="00726954" w:rsidRDefault="00726954" w:rsidP="008926AB">
      <w:pPr>
        <w:pStyle w:val="Topptekst"/>
        <w:numPr>
          <w:ilvl w:val="0"/>
          <w:numId w:val="5"/>
        </w:numPr>
        <w:spacing w:before="40"/>
        <w:rPr>
          <w:rFonts w:ascii="Georgia" w:hAnsi="Georgia"/>
          <w:bCs/>
        </w:rPr>
      </w:pPr>
      <w:r w:rsidRPr="00726954">
        <w:rPr>
          <w:rFonts w:ascii="Georgia" w:hAnsi="Georgia"/>
          <w:bCs/>
        </w:rPr>
        <w:t>Fakultetet selv avgjør søknad om godkjenning av annen høyere utdanning som faglig jevngod med utdanning som gis ved fakultetet.</w:t>
      </w:r>
    </w:p>
    <w:p w14:paraId="4487DE91" w14:textId="77777777" w:rsidR="008926AB" w:rsidRPr="00726954" w:rsidRDefault="008926AB" w:rsidP="008926AB">
      <w:pPr>
        <w:pStyle w:val="Topptekst"/>
        <w:spacing w:before="40"/>
        <w:rPr>
          <w:rFonts w:ascii="Georgia" w:hAnsi="Georgia"/>
          <w:bCs/>
        </w:rPr>
      </w:pPr>
    </w:p>
    <w:p w14:paraId="5277BCD2" w14:textId="731F1859" w:rsidR="00726954" w:rsidRDefault="00726954" w:rsidP="008926AB">
      <w:pPr>
        <w:pStyle w:val="Topptekst"/>
        <w:numPr>
          <w:ilvl w:val="0"/>
          <w:numId w:val="5"/>
        </w:numPr>
        <w:spacing w:before="40"/>
        <w:rPr>
          <w:rFonts w:ascii="Georgia" w:hAnsi="Georgia"/>
          <w:bCs/>
        </w:rPr>
      </w:pPr>
      <w:r w:rsidRPr="00726954">
        <w:rPr>
          <w:rFonts w:ascii="Georgia" w:hAnsi="Georgia"/>
          <w:bCs/>
        </w:rPr>
        <w:t>Fakultetet selv kan i særlige tilfeller gi godkjenning etter fjerde ledd helt eller delvis på grunnlag av kunnskaper som er dokumentert på annen måte enn ved eksamen. Prøve til kontroll av de dokumenterte kunnskaper eller tilleggsprøve kan kreves avlagt. Fakultetet selv kan også kreve slik prøve for kontroll av kunnskaper som er dokumentert med ikke-verifiserbare dokumenter.</w:t>
      </w:r>
    </w:p>
    <w:p w14:paraId="304F73ED" w14:textId="77777777" w:rsidR="008926AB" w:rsidRPr="00726954" w:rsidRDefault="008926AB" w:rsidP="008926AB">
      <w:pPr>
        <w:pStyle w:val="Topptekst"/>
        <w:spacing w:before="40"/>
        <w:rPr>
          <w:rFonts w:ascii="Georgia" w:hAnsi="Georgia"/>
          <w:bCs/>
        </w:rPr>
      </w:pPr>
    </w:p>
    <w:p w14:paraId="5693ACD0" w14:textId="77777777" w:rsidR="00726954" w:rsidRPr="00726954" w:rsidRDefault="00726954" w:rsidP="00726954">
      <w:pPr>
        <w:pStyle w:val="Topptekst"/>
        <w:spacing w:before="40"/>
        <w:ind w:left="360"/>
        <w:rPr>
          <w:rFonts w:ascii="Georgia" w:hAnsi="Georgia"/>
          <w:bCs/>
        </w:rPr>
      </w:pPr>
      <w:r w:rsidRPr="00726954">
        <w:rPr>
          <w:rFonts w:ascii="Georgia" w:hAnsi="Georgia"/>
          <w:bCs/>
        </w:rPr>
        <w:t>(6) Fakultetet selv kan i nærmere regler til § 3.5 fastsette bestemmelser om godskriving, fritak og godkjenning for bestemte grader, studieprogram, emnegrupper eller emner ved fakultetet.</w:t>
      </w:r>
    </w:p>
    <w:p w14:paraId="7A59904F" w14:textId="77777777" w:rsidR="00726954" w:rsidRPr="00726954" w:rsidRDefault="00726954" w:rsidP="00726954">
      <w:pPr>
        <w:pStyle w:val="Topptekst"/>
        <w:spacing w:before="40"/>
        <w:rPr>
          <w:rFonts w:ascii="Georgia" w:hAnsi="Georgia" w:cs="Calibri"/>
          <w:bCs/>
        </w:rPr>
      </w:pPr>
    </w:p>
    <w:p w14:paraId="5902245A" w14:textId="77777777" w:rsidR="00726954" w:rsidRPr="00726954" w:rsidRDefault="00726954" w:rsidP="00726954">
      <w:pPr>
        <w:pStyle w:val="Topptekst"/>
        <w:numPr>
          <w:ilvl w:val="0"/>
          <w:numId w:val="2"/>
        </w:numPr>
        <w:spacing w:before="40"/>
        <w:rPr>
          <w:rFonts w:ascii="Georgia" w:hAnsi="Georgia" w:cs="Calibri"/>
          <w:bCs/>
          <w:u w:val="single"/>
        </w:rPr>
      </w:pPr>
      <w:r w:rsidRPr="00726954">
        <w:rPr>
          <w:rFonts w:ascii="Georgia" w:hAnsi="Georgia" w:cs="Calibri"/>
          <w:bCs/>
          <w:u w:val="single"/>
        </w:rPr>
        <w:t>Universitets- og høyskoleloven § 3-5 e:</w:t>
      </w:r>
    </w:p>
    <w:p w14:paraId="42398210" w14:textId="77777777" w:rsidR="00726954" w:rsidRPr="00726954" w:rsidRDefault="00726954" w:rsidP="00726954">
      <w:pPr>
        <w:pStyle w:val="Topptekst"/>
        <w:spacing w:before="40"/>
        <w:ind w:left="360"/>
        <w:rPr>
          <w:rFonts w:ascii="Georgia" w:hAnsi="Georgia" w:cs="Calibri"/>
          <w:bCs/>
          <w:u w:val="single"/>
        </w:rPr>
      </w:pPr>
      <w:r w:rsidRPr="00726954">
        <w:rPr>
          <w:rFonts w:ascii="Georgia" w:hAnsi="Georgia" w:cs="Calibri"/>
          <w:bCs/>
        </w:rPr>
        <w:t>Faglig godkjenning av utdanning fra annen institusjon som er regulert av denne loven;</w:t>
      </w:r>
    </w:p>
    <w:p w14:paraId="333F72D6" w14:textId="799B7172" w:rsidR="00726954" w:rsidRDefault="00726954" w:rsidP="008926AB">
      <w:pPr>
        <w:pStyle w:val="Topptekst"/>
        <w:numPr>
          <w:ilvl w:val="0"/>
          <w:numId w:val="4"/>
        </w:numPr>
        <w:spacing w:before="40"/>
        <w:rPr>
          <w:rFonts w:ascii="Georgia" w:hAnsi="Georgia" w:cs="Calibri"/>
          <w:bCs/>
        </w:rPr>
      </w:pPr>
      <w:r w:rsidRPr="00726954">
        <w:rPr>
          <w:rFonts w:ascii="Georgia" w:hAnsi="Georgia" w:cs="Calibri"/>
          <w:bCs/>
        </w:rPr>
        <w:t>Universiteter og høyskoler som tilbyr akkrediterte studier etter denne loven, skal, etter søknad fra enkeltpersoner, godkjenne beståtte studier, emner, fag, eksamener eller prøver fra andre utdanningsinstitusjoner som er regulert av denne loven, som del av søkerens studium ved institusjonen, med samme antall studiepoeng. Dette skal skje i den utstrekning de oppfyller de faglige kravene til en bestemt eksamen, et bestemt emne, en bestemt utdanning eller en bestemt grad ved institusjonen.</w:t>
      </w:r>
    </w:p>
    <w:p w14:paraId="413DC42B" w14:textId="77777777" w:rsidR="008926AB" w:rsidRPr="00726954" w:rsidRDefault="008926AB" w:rsidP="008926AB">
      <w:pPr>
        <w:pStyle w:val="Topptekst"/>
        <w:spacing w:before="40"/>
        <w:ind w:left="720"/>
        <w:rPr>
          <w:rFonts w:ascii="Georgia" w:hAnsi="Georgia" w:cs="Calibri"/>
          <w:bCs/>
        </w:rPr>
      </w:pPr>
    </w:p>
    <w:p w14:paraId="2425391C" w14:textId="71F4055F" w:rsidR="00726954" w:rsidRDefault="00726954" w:rsidP="008926AB">
      <w:pPr>
        <w:pStyle w:val="Topptekst"/>
        <w:numPr>
          <w:ilvl w:val="0"/>
          <w:numId w:val="4"/>
        </w:numPr>
        <w:spacing w:before="40"/>
        <w:rPr>
          <w:rFonts w:ascii="Georgia" w:hAnsi="Georgia" w:cs="Calibri"/>
          <w:bCs/>
        </w:rPr>
      </w:pPr>
      <w:r w:rsidRPr="00726954">
        <w:rPr>
          <w:rFonts w:ascii="Georgia" w:hAnsi="Georgia" w:cs="Calibri"/>
          <w:bCs/>
        </w:rPr>
        <w:t>Godkjenningen er en faglig vurdering av om studenten har oppnådd et bestemt faglig nivå. Det innebærer at læringsutbyttet må tilsvare det som kreves for tilsvarende emner for det aktuelle studiet ved institusjonen. En slik godkjenning innebærer at studenten ikke må ta tilsvarende eksamen, emne, utdanning eller grad på nytt.</w:t>
      </w:r>
    </w:p>
    <w:p w14:paraId="73E6A27A" w14:textId="77777777" w:rsidR="008926AB" w:rsidRPr="00726954" w:rsidRDefault="008926AB" w:rsidP="00852F10">
      <w:pPr>
        <w:pStyle w:val="Topptekst"/>
        <w:spacing w:before="40"/>
        <w:rPr>
          <w:rFonts w:ascii="Georgia" w:hAnsi="Georgia" w:cs="Calibri"/>
          <w:bCs/>
        </w:rPr>
      </w:pPr>
    </w:p>
    <w:p w14:paraId="430CB7F2" w14:textId="77777777" w:rsidR="00726954" w:rsidRPr="00726954" w:rsidRDefault="00726954" w:rsidP="00726954">
      <w:pPr>
        <w:pStyle w:val="Topptekst"/>
        <w:spacing w:before="40"/>
        <w:ind w:left="360"/>
        <w:rPr>
          <w:rFonts w:ascii="Georgia" w:hAnsi="Georgia" w:cs="Calibri"/>
          <w:bCs/>
        </w:rPr>
      </w:pPr>
      <w:r w:rsidRPr="00726954">
        <w:rPr>
          <w:rFonts w:ascii="Georgia" w:hAnsi="Georgia" w:cs="Calibri"/>
          <w:bCs/>
        </w:rPr>
        <w:t>(3) Institusjonen som godkjenner, skal sikre at det ikke gis dobbel uttelling for samme faginnhold innenfor samme grad.</w:t>
      </w:r>
    </w:p>
    <w:p w14:paraId="59F99169" w14:textId="3D9D846D" w:rsidR="00726954" w:rsidRDefault="00726954" w:rsidP="00726954">
      <w:pPr>
        <w:pStyle w:val="Topptekst"/>
        <w:spacing w:before="40"/>
        <w:ind w:left="360"/>
        <w:rPr>
          <w:rFonts w:ascii="Georgia" w:hAnsi="Georgia" w:cs="Calibri"/>
          <w:bCs/>
          <w:u w:val="single"/>
        </w:rPr>
      </w:pPr>
    </w:p>
    <w:p w14:paraId="5EEE1F64" w14:textId="77777777" w:rsidR="008926AB" w:rsidRPr="00726954" w:rsidRDefault="008926AB" w:rsidP="00726954">
      <w:pPr>
        <w:pStyle w:val="Topptekst"/>
        <w:spacing w:before="40"/>
        <w:ind w:left="360"/>
        <w:rPr>
          <w:rFonts w:ascii="Georgia" w:hAnsi="Georgia" w:cs="Calibri"/>
          <w:bCs/>
          <w:u w:val="single"/>
        </w:rPr>
      </w:pPr>
    </w:p>
    <w:p w14:paraId="564C4275" w14:textId="77777777" w:rsidR="00726954" w:rsidRPr="00726954" w:rsidRDefault="00726954" w:rsidP="00726954">
      <w:pPr>
        <w:pStyle w:val="Topptekst"/>
        <w:spacing w:before="40"/>
        <w:ind w:left="360"/>
        <w:rPr>
          <w:rFonts w:ascii="Georgia" w:hAnsi="Georgia" w:cs="Calibri"/>
          <w:bCs/>
          <w:u w:val="single"/>
        </w:rPr>
      </w:pPr>
    </w:p>
    <w:p w14:paraId="469E7020" w14:textId="77777777" w:rsidR="00726954" w:rsidRPr="00726954" w:rsidRDefault="002C1CBC" w:rsidP="00726954">
      <w:pPr>
        <w:pStyle w:val="Topptekst"/>
        <w:numPr>
          <w:ilvl w:val="0"/>
          <w:numId w:val="2"/>
        </w:numPr>
        <w:rPr>
          <w:rFonts w:ascii="Georgia" w:hAnsi="Georgia" w:cs="Calibri"/>
          <w:bCs/>
          <w:u w:val="single"/>
        </w:rPr>
      </w:pPr>
      <w:hyperlink r:id="rId5" w:anchor="toc17" w:history="1">
        <w:r w:rsidR="00726954" w:rsidRPr="00726954">
          <w:rPr>
            <w:rStyle w:val="Hyperkobling"/>
            <w:rFonts w:ascii="Georgia" w:hAnsi="Georgia" w:cs="Calibri"/>
            <w:bCs/>
          </w:rPr>
          <w:t>Fakultetets forhåndsvedtak vedrørende utdanning som godkjennes i masterstudiet i rettsvitenskap</w:t>
        </w:r>
      </w:hyperlink>
      <w:r w:rsidR="00726954" w:rsidRPr="00726954">
        <w:rPr>
          <w:rFonts w:ascii="Georgia" w:hAnsi="Georgia" w:cs="Calibri"/>
          <w:bCs/>
          <w:u w:val="single"/>
        </w:rPr>
        <w:t xml:space="preserve"> (se vedlegg). </w:t>
      </w:r>
    </w:p>
    <w:p w14:paraId="47404B80" w14:textId="77777777" w:rsidR="00726954" w:rsidRPr="00726954" w:rsidRDefault="00726954" w:rsidP="00726954">
      <w:pPr>
        <w:pStyle w:val="Topptekst"/>
        <w:ind w:left="360"/>
        <w:rPr>
          <w:rFonts w:ascii="Georgia" w:hAnsi="Georgia" w:cs="Calibri"/>
          <w:bCs/>
          <w:u w:val="single"/>
        </w:rPr>
      </w:pPr>
    </w:p>
    <w:p w14:paraId="089D391B" w14:textId="77777777" w:rsidR="00726954" w:rsidRPr="00726954" w:rsidRDefault="00726954" w:rsidP="00726954">
      <w:pPr>
        <w:pStyle w:val="Topptekst"/>
        <w:ind w:left="360"/>
        <w:rPr>
          <w:rFonts w:ascii="Georgia" w:hAnsi="Georgia" w:cs="Calibri"/>
          <w:bCs/>
        </w:rPr>
      </w:pPr>
      <w:r w:rsidRPr="00726954">
        <w:rPr>
          <w:rFonts w:ascii="Georgia" w:hAnsi="Georgia" w:cs="Calibri"/>
          <w:bCs/>
        </w:rPr>
        <w:lastRenderedPageBreak/>
        <w:t xml:space="preserve">Fakultetet har foretatt en faglig vurdering etter </w:t>
      </w:r>
      <w:proofErr w:type="spellStart"/>
      <w:r w:rsidRPr="00726954">
        <w:rPr>
          <w:rFonts w:ascii="Georgia" w:hAnsi="Georgia" w:cs="Calibri"/>
          <w:bCs/>
        </w:rPr>
        <w:t>uhl</w:t>
      </w:r>
      <w:proofErr w:type="spellEnd"/>
      <w:r w:rsidRPr="00726954">
        <w:rPr>
          <w:rFonts w:ascii="Georgia" w:hAnsi="Georgia" w:cs="Calibri"/>
          <w:bCs/>
        </w:rPr>
        <w:t xml:space="preserve">. § 3-5 e av flere juridiske grader og emner ved andre læresteder, da først og fremst knyttet til godskrivning av obligatoriske emner på 1.-4. studieår, og dette er samlet i et forhåndsvedtak på fakultetets nettsider. For emner som ikke har blitt vurdert tidligere, foretas en faglig vurdering etter </w:t>
      </w:r>
      <w:proofErr w:type="spellStart"/>
      <w:r w:rsidRPr="00726954">
        <w:rPr>
          <w:rFonts w:ascii="Georgia" w:hAnsi="Georgia" w:cs="Calibri"/>
          <w:bCs/>
        </w:rPr>
        <w:t>uhl</w:t>
      </w:r>
      <w:proofErr w:type="spellEnd"/>
      <w:r w:rsidRPr="00726954">
        <w:rPr>
          <w:rFonts w:ascii="Georgia" w:hAnsi="Georgia" w:cs="Calibri"/>
          <w:bCs/>
        </w:rPr>
        <w:t xml:space="preserve">. §3-5 e av ansvarlig faglærer eller studiedekanen. </w:t>
      </w:r>
    </w:p>
    <w:p w14:paraId="12A47EDA" w14:textId="77777777" w:rsidR="00726954" w:rsidRPr="00726954" w:rsidRDefault="00726954" w:rsidP="00726954">
      <w:pPr>
        <w:pStyle w:val="Topptekst"/>
        <w:ind w:left="360"/>
        <w:rPr>
          <w:rFonts w:ascii="Georgia" w:hAnsi="Georgia" w:cs="Calibri"/>
          <w:bCs/>
        </w:rPr>
      </w:pPr>
    </w:p>
    <w:p w14:paraId="4BA333F5" w14:textId="77777777" w:rsidR="00726954" w:rsidRPr="00726954" w:rsidRDefault="00726954" w:rsidP="00726954">
      <w:pPr>
        <w:pStyle w:val="Topptekst"/>
        <w:ind w:left="360"/>
        <w:rPr>
          <w:rFonts w:ascii="Georgia" w:hAnsi="Georgia" w:cs="Calibri"/>
          <w:bCs/>
        </w:rPr>
      </w:pPr>
      <w:r w:rsidRPr="00726954">
        <w:rPr>
          <w:rFonts w:ascii="Georgia" w:hAnsi="Georgia" w:cs="Calibri"/>
          <w:bCs/>
        </w:rPr>
        <w:t xml:space="preserve">Det er også et avsnitt i forhåndsvedtaket som gjelder godskrivning av emner på 5. studieår. Forhåndsgodkjenningen av PSY4315- Rettspsykologi og RETKOM2107/4107 fremgår ikke i denne oversikten. </w:t>
      </w:r>
    </w:p>
    <w:p w14:paraId="4F0D11C6" w14:textId="77777777" w:rsidR="00726954" w:rsidRPr="00726954" w:rsidRDefault="00726954" w:rsidP="00726954">
      <w:pPr>
        <w:pStyle w:val="Topptekst"/>
        <w:spacing w:before="40"/>
        <w:rPr>
          <w:rFonts w:ascii="Georgia" w:hAnsi="Georgia" w:cs="Calibri"/>
        </w:rPr>
      </w:pPr>
    </w:p>
    <w:p w14:paraId="436FB59E" w14:textId="77777777" w:rsidR="00726954" w:rsidRPr="00726954" w:rsidRDefault="00726954" w:rsidP="00726954">
      <w:pPr>
        <w:pStyle w:val="Topptekst"/>
        <w:numPr>
          <w:ilvl w:val="0"/>
          <w:numId w:val="2"/>
        </w:numPr>
        <w:spacing w:before="40"/>
        <w:rPr>
          <w:rFonts w:ascii="Georgia" w:hAnsi="Georgia" w:cs="Calibri"/>
          <w:bCs/>
        </w:rPr>
      </w:pPr>
      <w:r w:rsidRPr="00726954">
        <w:rPr>
          <w:rFonts w:ascii="Georgia" w:hAnsi="Georgia" w:cstheme="minorHAnsi"/>
          <w:u w:val="single"/>
        </w:rPr>
        <w:t xml:space="preserve">Retningslinjer for godskriving av eksternt avlagte </w:t>
      </w:r>
      <w:proofErr w:type="spellStart"/>
      <w:r w:rsidRPr="00726954">
        <w:rPr>
          <w:rFonts w:ascii="Georgia" w:hAnsi="Georgia" w:cstheme="minorHAnsi"/>
          <w:u w:val="single"/>
        </w:rPr>
        <w:t>valgemner</w:t>
      </w:r>
      <w:proofErr w:type="spellEnd"/>
      <w:r w:rsidRPr="00726954">
        <w:rPr>
          <w:rFonts w:ascii="Georgia" w:hAnsi="Georgia" w:cstheme="minorHAnsi"/>
          <w:u w:val="single"/>
        </w:rPr>
        <w:t xml:space="preserve"> i Master i rettsvitenskap</w:t>
      </w:r>
      <w:r w:rsidRPr="00726954">
        <w:rPr>
          <w:rFonts w:ascii="Georgia" w:hAnsi="Georgia" w:cstheme="minorHAnsi"/>
        </w:rPr>
        <w:t xml:space="preserve"> (se vedlegg). </w:t>
      </w:r>
    </w:p>
    <w:p w14:paraId="2F973C53" w14:textId="77777777" w:rsidR="00726954" w:rsidRPr="00726954" w:rsidRDefault="00726954" w:rsidP="00726954">
      <w:pPr>
        <w:pStyle w:val="Topptekst"/>
        <w:spacing w:before="40"/>
        <w:ind w:left="360"/>
        <w:rPr>
          <w:rFonts w:ascii="Georgia" w:hAnsi="Georgia" w:cs="Calibri"/>
          <w:bCs/>
        </w:rPr>
      </w:pPr>
    </w:p>
    <w:p w14:paraId="57F21265" w14:textId="77777777" w:rsidR="00726954" w:rsidRPr="00726954" w:rsidRDefault="00726954" w:rsidP="00726954">
      <w:pPr>
        <w:rPr>
          <w:rFonts w:ascii="Georgia" w:hAnsi="Georgia" w:cstheme="minorHAnsi"/>
          <w:lang w:val="nb-NO"/>
        </w:rPr>
      </w:pPr>
      <w:r w:rsidRPr="00726954">
        <w:rPr>
          <w:rFonts w:ascii="Georgia" w:hAnsi="Georgia" w:cstheme="minorHAnsi"/>
          <w:lang w:val="nb-NO"/>
        </w:rPr>
        <w:t xml:space="preserve">Disse retningslinjene ble vedtatt i PMR 14.02.19, </w:t>
      </w:r>
      <w:hyperlink r:id="rId6" w:history="1">
        <w:r w:rsidRPr="00726954">
          <w:rPr>
            <w:rStyle w:val="Hyperkobling"/>
            <w:rFonts w:ascii="Georgia" w:hAnsi="Georgia" w:cstheme="minorHAnsi"/>
            <w:lang w:val="nb-NO"/>
          </w:rPr>
          <w:t>Referat fra møte i Programrådet for masterstudiet i rettsvitenskap - For ansatte - Universitetet i Oslo (uio.no)</w:t>
        </w:r>
      </w:hyperlink>
      <w:r w:rsidRPr="00726954">
        <w:rPr>
          <w:rFonts w:ascii="Georgia" w:hAnsi="Georgia" w:cstheme="minorHAnsi"/>
          <w:lang w:val="nb-NO"/>
        </w:rPr>
        <w:t xml:space="preserve"> </w:t>
      </w:r>
    </w:p>
    <w:p w14:paraId="7CB88926" w14:textId="77777777" w:rsidR="00726954" w:rsidRPr="00726954" w:rsidRDefault="00726954" w:rsidP="00726954">
      <w:pPr>
        <w:rPr>
          <w:rFonts w:ascii="Georgia" w:hAnsi="Georgia" w:cstheme="minorHAnsi"/>
          <w:lang w:val="nb-NO"/>
        </w:rPr>
      </w:pPr>
      <w:r w:rsidRPr="00726954">
        <w:rPr>
          <w:rFonts w:ascii="Georgia" w:hAnsi="Georgia" w:cstheme="minorHAnsi"/>
          <w:lang w:val="nb-NO"/>
        </w:rPr>
        <w:t xml:space="preserve">Bakgrunnen for utarbeidelse av disse retningslinjene var å forenkle arbeidet med godskriving av eksterne emner, samt sørge for en enhetlig praksis ved fakultetet. </w:t>
      </w:r>
    </w:p>
    <w:p w14:paraId="223C95BD" w14:textId="17148DB6" w:rsidR="00726954" w:rsidRPr="008926AB" w:rsidRDefault="00726954">
      <w:pPr>
        <w:rPr>
          <w:rFonts w:ascii="Georgia" w:hAnsi="Georgia" w:cstheme="minorHAnsi"/>
          <w:lang w:val="nb-NO"/>
        </w:rPr>
      </w:pPr>
    </w:p>
    <w:sectPr w:rsidR="00726954" w:rsidRPr="00892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A16"/>
    <w:multiLevelType w:val="hybridMultilevel"/>
    <w:tmpl w:val="CD527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29554CF"/>
    <w:multiLevelType w:val="hybridMultilevel"/>
    <w:tmpl w:val="1510559C"/>
    <w:lvl w:ilvl="0" w:tplc="7DACA57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06438"/>
    <w:multiLevelType w:val="hybridMultilevel"/>
    <w:tmpl w:val="FCF03C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2284113"/>
    <w:multiLevelType w:val="hybridMultilevel"/>
    <w:tmpl w:val="31F27D0A"/>
    <w:lvl w:ilvl="0" w:tplc="7200E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9172E1"/>
    <w:multiLevelType w:val="hybridMultilevel"/>
    <w:tmpl w:val="8E2CAD8E"/>
    <w:lvl w:ilvl="0" w:tplc="E6D2B6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0383126">
    <w:abstractNumId w:val="2"/>
  </w:num>
  <w:num w:numId="2" w16cid:durableId="193269502">
    <w:abstractNumId w:val="0"/>
  </w:num>
  <w:num w:numId="3" w16cid:durableId="1793137405">
    <w:abstractNumId w:val="1"/>
  </w:num>
  <w:num w:numId="4" w16cid:durableId="1542010862">
    <w:abstractNumId w:val="4"/>
  </w:num>
  <w:num w:numId="5" w16cid:durableId="1780178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54"/>
    <w:rsid w:val="002C1CBC"/>
    <w:rsid w:val="006C7AED"/>
    <w:rsid w:val="00726954"/>
    <w:rsid w:val="00852F10"/>
    <w:rsid w:val="0089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4D67"/>
  <w15:chartTrackingRefBased/>
  <w15:docId w15:val="{EF83724B-896D-486E-8077-D76436B0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26954"/>
    <w:pPr>
      <w:tabs>
        <w:tab w:val="center" w:pos="4536"/>
        <w:tab w:val="right" w:pos="9072"/>
      </w:tabs>
      <w:spacing w:after="0" w:line="240" w:lineRule="auto"/>
    </w:pPr>
    <w:rPr>
      <w:rFonts w:ascii="Calibri" w:eastAsia="Calibri" w:hAnsi="Calibri" w:cs="Times New Roman"/>
      <w:lang w:val="nb-NO"/>
    </w:rPr>
  </w:style>
  <w:style w:type="character" w:customStyle="1" w:styleId="TopptekstTegn">
    <w:name w:val="Topptekst Tegn"/>
    <w:basedOn w:val="Standardskriftforavsnitt"/>
    <w:link w:val="Topptekst"/>
    <w:rsid w:val="00726954"/>
    <w:rPr>
      <w:rFonts w:ascii="Calibri" w:eastAsia="Calibri" w:hAnsi="Calibri" w:cs="Times New Roman"/>
      <w:lang w:val="nb-NO"/>
    </w:rPr>
  </w:style>
  <w:style w:type="character" w:styleId="Hyperkobling">
    <w:name w:val="Hyperlink"/>
    <w:basedOn w:val="Standardskriftforavsnitt"/>
    <w:uiPriority w:val="99"/>
    <w:unhideWhenUsed/>
    <w:rsid w:val="00726954"/>
    <w:rPr>
      <w:color w:val="0000FF"/>
      <w:u w:val="single"/>
    </w:rPr>
  </w:style>
  <w:style w:type="paragraph" w:styleId="Listeavsnitt">
    <w:name w:val="List Paragraph"/>
    <w:basedOn w:val="Normal"/>
    <w:uiPriority w:val="34"/>
    <w:qFormat/>
    <w:rsid w:val="00726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o.no/for-ansatte/enhetssider/jus/ledelses-og-utvalgsmoter/pmr/moter/2019/pmr1/Protokoll.html" TargetMode="External"/><Relationship Id="rId5" Type="http://schemas.openxmlformats.org/officeDocument/2006/relationships/hyperlink" Target="https://www.uio.no/studier/program/jus/innpassing-forhandsvedta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Skogrand Havgar</dc:creator>
  <cp:keywords/>
  <dc:description/>
  <cp:lastModifiedBy>Christine Skogrand Havgar</cp:lastModifiedBy>
  <cp:revision>4</cp:revision>
  <dcterms:created xsi:type="dcterms:W3CDTF">2023-05-26T06:13:00Z</dcterms:created>
  <dcterms:modified xsi:type="dcterms:W3CDTF">2023-06-01T09:19:00Z</dcterms:modified>
</cp:coreProperties>
</file>