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F78C" w14:textId="77777777" w:rsidR="002E2A5D" w:rsidRDefault="003551A9" w:rsidP="00D1542C">
      <w:r w:rsidRPr="00434B54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DA67ACD" wp14:editId="46C1D10E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32C6F" w14:textId="77777777"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A67AC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" fillcolor="#d1d3d4" stroked="f" strokeweight=".5pt">
                <v:textbox>
                  <w:txbxContent>
                    <w:p w14:paraId="3E932C6F" w14:textId="77777777" w:rsidR="003551A9" w:rsidRPr="003551A9" w:rsidRDefault="003551A9" w:rsidP="003551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FAA475" w14:textId="77777777" w:rsidR="00D1542C" w:rsidRDefault="00D1542C" w:rsidP="00D1542C"/>
    <w:p w14:paraId="0483D3E1" w14:textId="77777777" w:rsidR="00D1542C" w:rsidRPr="006F5DDA" w:rsidRDefault="00D1542C" w:rsidP="00D1542C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Pr="006F5DD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Arbeidsutvalget for eksternfinansiert virksomhet</w:t>
      </w:r>
      <w:r w:rsidR="002B5583">
        <w:rPr>
          <w:rFonts w:ascii="Georgia" w:hAnsi="Georgia"/>
          <w:sz w:val="22"/>
          <w:szCs w:val="22"/>
        </w:rPr>
        <w:t xml:space="preserve"> (AU-EFV)</w:t>
      </w:r>
    </w:p>
    <w:p w14:paraId="50641B21" w14:textId="77777777" w:rsidR="00D1542C" w:rsidRPr="006F5DDA" w:rsidRDefault="00D1542C" w:rsidP="00D1542C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Pr="006F5DD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Ressursgruppen for </w:t>
      </w:r>
      <w:r w:rsidR="00210FD8">
        <w:rPr>
          <w:rFonts w:ascii="Georgia" w:hAnsi="Georgia"/>
          <w:sz w:val="22"/>
          <w:szCs w:val="22"/>
        </w:rPr>
        <w:t>Forskningsrådet</w:t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D1542C" w:rsidRPr="006F5DDA" w14:paraId="362AD6CE" w14:textId="77777777" w:rsidTr="001C78F3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2B71AA44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429DAE0C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Innmelding av behov</w:t>
            </w:r>
          </w:p>
        </w:tc>
      </w:tr>
      <w:tr w:rsidR="00D1542C" w:rsidRPr="006F5DDA" w14:paraId="559DD1FF" w14:textId="77777777" w:rsidTr="001C78F3">
        <w:tc>
          <w:tcPr>
            <w:tcW w:w="1123" w:type="pct"/>
          </w:tcPr>
          <w:p w14:paraId="247F6B83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14:paraId="474C4FCA" w14:textId="6FC36AF4" w:rsidR="00D1542C" w:rsidRPr="006F5DDA" w:rsidRDefault="0038047C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12.05.2023</w:t>
            </w:r>
          </w:p>
        </w:tc>
      </w:tr>
      <w:tr w:rsidR="00D1542C" w:rsidRPr="006F5DDA" w14:paraId="3594EE1B" w14:textId="77777777" w:rsidTr="001C78F3">
        <w:tc>
          <w:tcPr>
            <w:tcW w:w="1123" w:type="pct"/>
          </w:tcPr>
          <w:p w14:paraId="228E06C5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14:paraId="3DA672F5" w14:textId="62B272DC" w:rsidR="00D1542C" w:rsidRPr="006F5DDA" w:rsidRDefault="0038047C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11.05.2023</w:t>
            </w:r>
          </w:p>
        </w:tc>
      </w:tr>
      <w:tr w:rsidR="00D1542C" w:rsidRPr="006F5DDA" w14:paraId="75699F58" w14:textId="77777777" w:rsidTr="001C78F3">
        <w:trPr>
          <w:trHeight w:val="17"/>
        </w:trPr>
        <w:tc>
          <w:tcPr>
            <w:tcW w:w="1123" w:type="pct"/>
          </w:tcPr>
          <w:p w14:paraId="2D7F5821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3877" w:type="pct"/>
          </w:tcPr>
          <w:p w14:paraId="0964A70F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Ingrid Sogner</w:t>
            </w:r>
          </w:p>
        </w:tc>
      </w:tr>
      <w:tr w:rsidR="00D1542C" w:rsidRPr="006F5DDA" w14:paraId="29A24D07" w14:textId="77777777" w:rsidTr="001C78F3">
        <w:trPr>
          <w:trHeight w:val="17"/>
        </w:trPr>
        <w:tc>
          <w:tcPr>
            <w:tcW w:w="1123" w:type="pct"/>
          </w:tcPr>
          <w:p w14:paraId="7012FC4F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14:paraId="236660F5" w14:textId="166EB29E" w:rsidR="00D1542C" w:rsidRPr="006F5DDA" w:rsidRDefault="0038047C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Lisa Nordick og Charlotte Kildal</w:t>
            </w:r>
          </w:p>
        </w:tc>
      </w:tr>
    </w:tbl>
    <w:p w14:paraId="5271DDF5" w14:textId="77777777" w:rsidR="00D1542C" w:rsidRPr="006F5DDA" w:rsidRDefault="00D1542C" w:rsidP="00D1542C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755CE6BA" w14:textId="77777777" w:rsidR="00D1542C" w:rsidRPr="00205D47" w:rsidRDefault="00210FD8" w:rsidP="00D1542C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Regelmessige kurs om bidrag og oppdrag</w:t>
      </w:r>
    </w:p>
    <w:p w14:paraId="080C6EE6" w14:textId="77777777" w:rsidR="002B5583" w:rsidRPr="002B5583" w:rsidRDefault="002B5583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600734CF" w14:textId="77777777" w:rsidR="002B5583" w:rsidRDefault="00D1542C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0278DF">
        <w:rPr>
          <w:rFonts w:ascii="Georgia" w:hAnsi="Georgia" w:cs="Calibri"/>
          <w:b/>
        </w:rPr>
        <w:t>Bakgrunn</w:t>
      </w:r>
      <w:r w:rsidR="002B5583">
        <w:rPr>
          <w:rFonts w:ascii="Georgia" w:hAnsi="Georgia" w:cs="Calibri"/>
          <w:b/>
        </w:rPr>
        <w:t xml:space="preserve"> for saken</w:t>
      </w:r>
    </w:p>
    <w:p w14:paraId="0465974B" w14:textId="52F1E796" w:rsidR="00210FD8" w:rsidRDefault="00210FD8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Ressursgruppen for Forskningsrådet </w:t>
      </w:r>
      <w:proofErr w:type="spellStart"/>
      <w:r>
        <w:rPr>
          <w:rFonts w:ascii="Georgia" w:hAnsi="Georgia" w:cs="Calibri"/>
          <w:bCs/>
        </w:rPr>
        <w:t>fasiliterte</w:t>
      </w:r>
      <w:proofErr w:type="spellEnd"/>
      <w:r>
        <w:rPr>
          <w:rFonts w:ascii="Georgia" w:hAnsi="Georgia" w:cs="Calibri"/>
          <w:bCs/>
        </w:rPr>
        <w:t xml:space="preserve"> </w:t>
      </w:r>
      <w:proofErr w:type="spellStart"/>
      <w:r>
        <w:rPr>
          <w:rFonts w:ascii="Georgia" w:hAnsi="Georgia" w:cs="Calibri"/>
          <w:bCs/>
        </w:rPr>
        <w:t>webinaret</w:t>
      </w:r>
      <w:proofErr w:type="spellEnd"/>
      <w:r>
        <w:rPr>
          <w:rFonts w:ascii="Georgia" w:hAnsi="Georgia" w:cs="Calibri"/>
          <w:bCs/>
        </w:rPr>
        <w:t xml:space="preserve"> ‘</w:t>
      </w:r>
      <w:hyperlink r:id="rId12" w:history="1">
        <w:r w:rsidR="00106A5E" w:rsidRPr="00694108">
          <w:rPr>
            <w:rStyle w:val="Hyperlink"/>
            <w:rFonts w:ascii="Georgia" w:hAnsi="Georgia" w:cs="Calibri"/>
            <w:bCs/>
          </w:rPr>
          <w:t>Klassifisering av BOA-prosjekter, samarbeid og MVA</w:t>
        </w:r>
      </w:hyperlink>
      <w:r>
        <w:rPr>
          <w:rFonts w:ascii="Georgia" w:hAnsi="Georgia" w:cs="Calibri"/>
          <w:bCs/>
        </w:rPr>
        <w:t xml:space="preserve">’ </w:t>
      </w:r>
      <w:r w:rsidR="00106A5E">
        <w:rPr>
          <w:rFonts w:ascii="Georgia" w:hAnsi="Georgia" w:cs="Calibri"/>
          <w:bCs/>
        </w:rPr>
        <w:t>16. mars 2023</w:t>
      </w:r>
      <w:r>
        <w:rPr>
          <w:rFonts w:ascii="Georgia" w:hAnsi="Georgia" w:cs="Calibri"/>
          <w:bCs/>
        </w:rPr>
        <w:t xml:space="preserve">. </w:t>
      </w:r>
      <w:r w:rsidR="002B40DE">
        <w:rPr>
          <w:rFonts w:ascii="Georgia" w:hAnsi="Georgia" w:cs="Calibri"/>
          <w:bCs/>
        </w:rPr>
        <w:t xml:space="preserve">Thomas Kjensli og Johan Hjemås fra </w:t>
      </w:r>
      <w:r w:rsidR="00152B74">
        <w:rPr>
          <w:rFonts w:ascii="Georgia" w:hAnsi="Georgia" w:cs="Calibri"/>
          <w:bCs/>
        </w:rPr>
        <w:t>Seksjon for Økonomi og virksomhetsstyring (ØVA)</w:t>
      </w:r>
      <w:r w:rsidR="002B40DE">
        <w:rPr>
          <w:rFonts w:ascii="Georgia" w:hAnsi="Georgia" w:cs="Calibri"/>
          <w:bCs/>
        </w:rPr>
        <w:t xml:space="preserve"> presenterte. </w:t>
      </w:r>
      <w:r>
        <w:rPr>
          <w:rFonts w:ascii="Georgia" w:hAnsi="Georgia" w:cs="Calibri"/>
          <w:bCs/>
        </w:rPr>
        <w:t xml:space="preserve">Målgruppen for webinaret var forskningsrådgivere og prosjektøkonomer, og hele 120 personer deltok. </w:t>
      </w:r>
      <w:r w:rsidR="00D56633">
        <w:rPr>
          <w:rFonts w:ascii="Georgia" w:hAnsi="Georgia" w:cs="Calibri"/>
          <w:bCs/>
        </w:rPr>
        <w:t>W</w:t>
      </w:r>
      <w:r>
        <w:rPr>
          <w:rFonts w:ascii="Georgia" w:hAnsi="Georgia" w:cs="Calibri"/>
          <w:bCs/>
        </w:rPr>
        <w:t>ebinaret</w:t>
      </w:r>
      <w:r w:rsidR="00D56633">
        <w:rPr>
          <w:rFonts w:ascii="Georgia" w:hAnsi="Georgia" w:cs="Calibri"/>
          <w:bCs/>
        </w:rPr>
        <w:t xml:space="preserve"> tydeliggjor</w:t>
      </w:r>
      <w:r w:rsidR="002B40DE">
        <w:rPr>
          <w:rFonts w:ascii="Georgia" w:hAnsi="Georgia" w:cs="Calibri"/>
          <w:bCs/>
        </w:rPr>
        <w:t>d</w:t>
      </w:r>
      <w:r w:rsidR="00D56633">
        <w:rPr>
          <w:rFonts w:ascii="Georgia" w:hAnsi="Georgia" w:cs="Calibri"/>
          <w:bCs/>
        </w:rPr>
        <w:t xml:space="preserve">e når forskningsprosjekter skal kategoriseres som bidrags- eller oppdragsprosjekter for å unngå lovbrudd og </w:t>
      </w:r>
      <w:r w:rsidR="00113A01">
        <w:rPr>
          <w:rFonts w:ascii="Georgia" w:hAnsi="Georgia" w:cs="Calibri"/>
          <w:bCs/>
        </w:rPr>
        <w:t xml:space="preserve">for å </w:t>
      </w:r>
      <w:r w:rsidR="00D56633">
        <w:rPr>
          <w:rFonts w:ascii="Georgia" w:hAnsi="Georgia" w:cs="Calibri"/>
          <w:bCs/>
        </w:rPr>
        <w:t>ivareta riktig rapportering til KD. Også samarbeidsbegrep</w:t>
      </w:r>
      <w:r w:rsidR="002B40DE">
        <w:rPr>
          <w:rFonts w:ascii="Georgia" w:hAnsi="Georgia" w:cs="Calibri"/>
          <w:bCs/>
        </w:rPr>
        <w:t>et</w:t>
      </w:r>
      <w:r w:rsidR="00D56633">
        <w:rPr>
          <w:rFonts w:ascii="Georgia" w:hAnsi="Georgia" w:cs="Calibri"/>
          <w:bCs/>
        </w:rPr>
        <w:t xml:space="preserve"> og MVA-plikt på konferanser ble gjennomgått. </w:t>
      </w:r>
    </w:p>
    <w:p w14:paraId="4869D649" w14:textId="77777777" w:rsidR="00210FD8" w:rsidRDefault="00210FD8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4DE9EACE" w14:textId="54D0F2C9" w:rsidR="00210FD8" w:rsidRDefault="002B40DE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Temaene er relevante for både forskningsrådgivere og prosjektøkonomer på tvers av UiOs enheter siden budsjetteringen av ulike søknads- og konferansebudsjetter er en av deres kjerneoppgaver. </w:t>
      </w:r>
      <w:r w:rsidR="003C1CAB">
        <w:rPr>
          <w:rFonts w:ascii="Georgia" w:hAnsi="Georgia" w:cs="Calibri"/>
          <w:bCs/>
        </w:rPr>
        <w:t>Men regelverket er komplekst og m</w:t>
      </w:r>
      <w:r>
        <w:rPr>
          <w:rFonts w:ascii="Georgia" w:hAnsi="Georgia" w:cs="Calibri"/>
          <w:bCs/>
        </w:rPr>
        <w:t>anglende kompetanse på området kan føre til feilkategorisering- og budsjettering</w:t>
      </w:r>
      <w:r w:rsidR="00605805">
        <w:rPr>
          <w:rFonts w:ascii="Georgia" w:hAnsi="Georgia" w:cs="Calibri"/>
          <w:bCs/>
        </w:rPr>
        <w:t xml:space="preserve">, som utløser mye merarbeid både for enhetene og rådgiverne </w:t>
      </w:r>
      <w:r w:rsidR="00605805" w:rsidRPr="002B40DE">
        <w:rPr>
          <w:rFonts w:ascii="Georgia" w:hAnsi="Georgia" w:cs="Calibri"/>
          <w:bCs/>
        </w:rPr>
        <w:t xml:space="preserve">i </w:t>
      </w:r>
      <w:r w:rsidR="00152B74">
        <w:rPr>
          <w:rFonts w:ascii="Georgia" w:hAnsi="Georgia" w:cs="Calibri"/>
          <w:bCs/>
        </w:rPr>
        <w:t>ØVA</w:t>
      </w:r>
      <w:r w:rsidR="00605805">
        <w:rPr>
          <w:rFonts w:ascii="Georgia" w:hAnsi="Georgia" w:cs="Calibri"/>
          <w:bCs/>
        </w:rPr>
        <w:t>. Andre konsekvenser kan</w:t>
      </w:r>
      <w:r w:rsidR="003C1CAB">
        <w:rPr>
          <w:rFonts w:ascii="Georgia" w:hAnsi="Georgia" w:cs="Calibri"/>
          <w:bCs/>
        </w:rPr>
        <w:t xml:space="preserve"> </w:t>
      </w:r>
      <w:r w:rsidR="00605805">
        <w:rPr>
          <w:rFonts w:ascii="Georgia" w:hAnsi="Georgia" w:cs="Calibri"/>
          <w:bCs/>
        </w:rPr>
        <w:t xml:space="preserve">være at </w:t>
      </w:r>
      <w:r w:rsidR="003C1CAB">
        <w:rPr>
          <w:rFonts w:ascii="Georgia" w:hAnsi="Georgia" w:cs="Calibri"/>
          <w:bCs/>
        </w:rPr>
        <w:t xml:space="preserve">fakturautbetalingen </w:t>
      </w:r>
      <w:r w:rsidR="00605805">
        <w:rPr>
          <w:rFonts w:ascii="Georgia" w:hAnsi="Georgia" w:cs="Calibri"/>
          <w:bCs/>
        </w:rPr>
        <w:t>blir forsinket eller at avtaler med partnere må</w:t>
      </w:r>
      <w:r w:rsidR="003C1CAB">
        <w:rPr>
          <w:rFonts w:ascii="Georgia" w:hAnsi="Georgia" w:cs="Calibri"/>
          <w:bCs/>
        </w:rPr>
        <w:t xml:space="preserve"> </w:t>
      </w:r>
      <w:r w:rsidR="00605805">
        <w:rPr>
          <w:rFonts w:ascii="Georgia" w:hAnsi="Georgia" w:cs="Calibri"/>
          <w:bCs/>
        </w:rPr>
        <w:t>reforhandles, noe som lar UiO framstå som lite profesjonelt utad</w:t>
      </w:r>
      <w:r w:rsidR="003C1CAB">
        <w:rPr>
          <w:rFonts w:ascii="Georgia" w:hAnsi="Georgia" w:cs="Calibri"/>
          <w:bCs/>
        </w:rPr>
        <w:t xml:space="preserve">. </w:t>
      </w:r>
    </w:p>
    <w:p w14:paraId="21E1AEC3" w14:textId="77777777" w:rsidR="00210FD8" w:rsidRDefault="00210FD8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69FA4514" w14:textId="77777777" w:rsidR="002B5583" w:rsidRPr="002B5583" w:rsidRDefault="002B5583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2B5583">
        <w:rPr>
          <w:rFonts w:ascii="Georgia" w:hAnsi="Georgia" w:cs="Calibri"/>
          <w:b/>
        </w:rPr>
        <w:t>Beskrivelse av behovet</w:t>
      </w:r>
    </w:p>
    <w:p w14:paraId="61F38D44" w14:textId="2F804A5D" w:rsidR="00016407" w:rsidRDefault="0068671D" w:rsidP="00B02476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br/>
      </w:r>
      <w:r w:rsidR="005444E8">
        <w:rPr>
          <w:rFonts w:ascii="Georgia" w:hAnsi="Georgia" w:cs="Calibri"/>
          <w:bCs/>
        </w:rPr>
        <w:t xml:space="preserve">UiOs organisering tilsier at budsjetteringen og kategoriseringen </w:t>
      </w:r>
      <w:r w:rsidR="001B62DF">
        <w:rPr>
          <w:rFonts w:ascii="Georgia" w:hAnsi="Georgia" w:cs="Calibri"/>
          <w:bCs/>
        </w:rPr>
        <w:t xml:space="preserve">av både konferanser og forskningsprosjekter </w:t>
      </w:r>
      <w:r w:rsidR="005444E8">
        <w:rPr>
          <w:rFonts w:ascii="Georgia" w:hAnsi="Georgia" w:cs="Calibri"/>
          <w:bCs/>
        </w:rPr>
        <w:t>fortas på grunnenhetene</w:t>
      </w:r>
      <w:r w:rsidR="003209A6">
        <w:rPr>
          <w:rFonts w:ascii="Georgia" w:hAnsi="Georgia" w:cs="Calibri"/>
          <w:bCs/>
        </w:rPr>
        <w:t xml:space="preserve">. Avvik ble derfor ofte ikke </w:t>
      </w:r>
      <w:r w:rsidR="00C765EB">
        <w:rPr>
          <w:rFonts w:ascii="Georgia" w:hAnsi="Georgia" w:cs="Calibri"/>
          <w:bCs/>
        </w:rPr>
        <w:t xml:space="preserve">oppdaget før </w:t>
      </w:r>
      <w:r w:rsidR="00FC6D41" w:rsidRPr="00FC6D41">
        <w:rPr>
          <w:rFonts w:ascii="Georgia" w:hAnsi="Georgia" w:cs="Calibri"/>
          <w:bCs/>
        </w:rPr>
        <w:t>prosjekt</w:t>
      </w:r>
      <w:r w:rsidR="00FC6D41">
        <w:rPr>
          <w:rFonts w:ascii="Georgia" w:hAnsi="Georgia" w:cs="Calibri"/>
          <w:bCs/>
        </w:rPr>
        <w:t xml:space="preserve"> skal aktiveres </w:t>
      </w:r>
      <w:r w:rsidR="00FC6D41" w:rsidRPr="00FC6D41">
        <w:rPr>
          <w:rFonts w:ascii="Georgia" w:hAnsi="Georgia" w:cs="Calibri"/>
          <w:bCs/>
        </w:rPr>
        <w:t>i UiOs</w:t>
      </w:r>
      <w:r w:rsidR="00FC6D41">
        <w:rPr>
          <w:rFonts w:ascii="Georgia" w:hAnsi="Georgia" w:cs="Calibri"/>
          <w:bCs/>
        </w:rPr>
        <w:t xml:space="preserve"> </w:t>
      </w:r>
      <w:r w:rsidR="00FC6D41" w:rsidRPr="00FC6D41">
        <w:rPr>
          <w:rFonts w:ascii="Georgia" w:hAnsi="Georgia" w:cs="Calibri"/>
          <w:bCs/>
        </w:rPr>
        <w:t>økonomisystem</w:t>
      </w:r>
      <w:r w:rsidR="00FC6D41">
        <w:rPr>
          <w:rFonts w:ascii="Georgia" w:hAnsi="Georgia" w:cs="Calibri"/>
          <w:bCs/>
        </w:rPr>
        <w:t>. K</w:t>
      </w:r>
      <w:r w:rsidR="00FC6D41" w:rsidRPr="00FC6D41">
        <w:rPr>
          <w:rFonts w:ascii="Georgia" w:hAnsi="Georgia" w:cs="Calibri"/>
          <w:bCs/>
        </w:rPr>
        <w:t xml:space="preserve">ontraktforhandlingene er </w:t>
      </w:r>
      <w:r w:rsidR="00FC6D41">
        <w:rPr>
          <w:rFonts w:ascii="Georgia" w:hAnsi="Georgia" w:cs="Calibri"/>
          <w:bCs/>
        </w:rPr>
        <w:t xml:space="preserve">på dette tidspunktet allerede </w:t>
      </w:r>
      <w:r w:rsidR="00FC6D41" w:rsidRPr="00FC6D41">
        <w:rPr>
          <w:rFonts w:ascii="Georgia" w:hAnsi="Georgia" w:cs="Calibri"/>
          <w:bCs/>
        </w:rPr>
        <w:t>sluttført og kontrakten er signert av</w:t>
      </w:r>
      <w:r w:rsidR="001B62DF">
        <w:rPr>
          <w:rFonts w:ascii="Georgia" w:hAnsi="Georgia" w:cs="Calibri"/>
          <w:bCs/>
        </w:rPr>
        <w:t xml:space="preserve"> </w:t>
      </w:r>
      <w:r w:rsidR="00FC6D41">
        <w:rPr>
          <w:rFonts w:ascii="Georgia" w:hAnsi="Georgia" w:cs="Calibri"/>
          <w:bCs/>
        </w:rPr>
        <w:t>UiO</w:t>
      </w:r>
      <w:r w:rsidR="00FC6D41" w:rsidRPr="00FC6D41">
        <w:rPr>
          <w:rFonts w:ascii="Georgia" w:hAnsi="Georgia" w:cs="Calibri"/>
          <w:bCs/>
        </w:rPr>
        <w:t xml:space="preserve"> og eksternt hold</w:t>
      </w:r>
      <w:r w:rsidR="00FC6D41">
        <w:rPr>
          <w:rFonts w:ascii="Georgia" w:hAnsi="Georgia" w:cs="Calibri"/>
          <w:bCs/>
        </w:rPr>
        <w:t xml:space="preserve">. Det er derfor avgjørende at </w:t>
      </w:r>
      <w:r w:rsidR="00CF1416">
        <w:rPr>
          <w:rFonts w:ascii="Georgia" w:hAnsi="Georgia" w:cs="Calibri"/>
          <w:bCs/>
        </w:rPr>
        <w:t xml:space="preserve">både prosjektøkonomer og forskningsrådgivere får en god opplæring </w:t>
      </w:r>
      <w:r w:rsidR="001B62DF">
        <w:rPr>
          <w:rFonts w:ascii="Georgia" w:hAnsi="Georgia" w:cs="Calibri"/>
          <w:bCs/>
        </w:rPr>
        <w:t xml:space="preserve">og regelmessig oppfriskning </w:t>
      </w:r>
      <w:r w:rsidR="00CF1416">
        <w:rPr>
          <w:rFonts w:ascii="Georgia" w:hAnsi="Georgia" w:cs="Calibri"/>
          <w:bCs/>
        </w:rPr>
        <w:t xml:space="preserve">i regelverket og rutinene på UiO. </w:t>
      </w:r>
      <w:r w:rsidR="001B62DF">
        <w:rPr>
          <w:rFonts w:ascii="Georgia" w:hAnsi="Georgia" w:cs="Calibri"/>
          <w:bCs/>
        </w:rPr>
        <w:br/>
      </w:r>
      <w:r w:rsidR="001B62DF">
        <w:rPr>
          <w:rFonts w:ascii="Georgia" w:hAnsi="Georgia" w:cs="Calibri"/>
          <w:bCs/>
        </w:rPr>
        <w:br/>
        <w:t>Det er dessuten behov for en bedre informasjonsflyt mellom a</w:t>
      </w:r>
      <w:r w:rsidR="001B62DF" w:rsidRPr="002B40DE">
        <w:rPr>
          <w:rFonts w:ascii="Georgia" w:hAnsi="Georgia" w:cs="Calibri"/>
          <w:bCs/>
        </w:rPr>
        <w:t>vdeling</w:t>
      </w:r>
      <w:r w:rsidR="001B62DF">
        <w:rPr>
          <w:rFonts w:ascii="Georgia" w:hAnsi="Georgia" w:cs="Calibri"/>
          <w:bCs/>
        </w:rPr>
        <w:t>en</w:t>
      </w:r>
      <w:r w:rsidR="001B62DF" w:rsidRPr="002B40DE">
        <w:rPr>
          <w:rFonts w:ascii="Georgia" w:hAnsi="Georgia" w:cs="Calibri"/>
          <w:bCs/>
        </w:rPr>
        <w:t xml:space="preserve"> for </w:t>
      </w:r>
      <w:r w:rsidR="00B65B8E">
        <w:rPr>
          <w:rFonts w:ascii="Georgia" w:hAnsi="Georgia" w:cs="Calibri"/>
          <w:bCs/>
        </w:rPr>
        <w:t>ØVA</w:t>
      </w:r>
      <w:r w:rsidR="001B62DF">
        <w:rPr>
          <w:rFonts w:ascii="Georgia" w:hAnsi="Georgia" w:cs="Calibri"/>
          <w:bCs/>
        </w:rPr>
        <w:t xml:space="preserve"> </w:t>
      </w:r>
      <w:r w:rsidR="00B86E07">
        <w:rPr>
          <w:rFonts w:ascii="Georgia" w:hAnsi="Georgia" w:cs="Calibri"/>
          <w:bCs/>
        </w:rPr>
        <w:t xml:space="preserve">og rådgiverne på grunnenhetene. </w:t>
      </w:r>
      <w:r w:rsidR="001B62DF">
        <w:rPr>
          <w:rFonts w:ascii="Georgia" w:hAnsi="Georgia" w:cs="Calibri"/>
          <w:bCs/>
        </w:rPr>
        <w:t>Noe av informasjonen som ble delt i webinaret var ny</w:t>
      </w:r>
      <w:r w:rsidR="00581C98">
        <w:rPr>
          <w:rFonts w:ascii="Georgia" w:hAnsi="Georgia" w:cs="Calibri"/>
          <w:bCs/>
        </w:rPr>
        <w:t xml:space="preserve">, f.eks. </w:t>
      </w:r>
      <w:r w:rsidR="003F1ABC">
        <w:rPr>
          <w:rFonts w:ascii="Georgia" w:hAnsi="Georgia" w:cs="Calibri"/>
          <w:bCs/>
        </w:rPr>
        <w:t>at det ikke lenger er mulig å forskuttere midler fra eksterne finansører til partnere</w:t>
      </w:r>
      <w:r w:rsidR="00382593">
        <w:rPr>
          <w:rFonts w:ascii="Georgia" w:hAnsi="Georgia" w:cs="Calibri"/>
          <w:bCs/>
        </w:rPr>
        <w:t xml:space="preserve">. Dette er en </w:t>
      </w:r>
      <w:r w:rsidR="008A583E">
        <w:rPr>
          <w:rFonts w:ascii="Georgia" w:hAnsi="Georgia" w:cs="Calibri"/>
          <w:bCs/>
        </w:rPr>
        <w:t xml:space="preserve">betydelig endring </w:t>
      </w:r>
      <w:r w:rsidR="005A07EF">
        <w:rPr>
          <w:rFonts w:ascii="Georgia" w:hAnsi="Georgia" w:cs="Calibri"/>
          <w:bCs/>
        </w:rPr>
        <w:t xml:space="preserve">som vil påvirke prosjektdesign, avtaleutforming og </w:t>
      </w:r>
      <w:r w:rsidR="00B65B8E">
        <w:rPr>
          <w:rFonts w:ascii="Georgia" w:hAnsi="Georgia" w:cs="Calibri"/>
          <w:bCs/>
        </w:rPr>
        <w:t xml:space="preserve">prosjektoppfølging, men informasjonen </w:t>
      </w:r>
      <w:r w:rsidR="00C317DA">
        <w:rPr>
          <w:rFonts w:ascii="Georgia" w:hAnsi="Georgia" w:cs="Calibri"/>
          <w:bCs/>
        </w:rPr>
        <w:t xml:space="preserve">hadde ikke </w:t>
      </w:r>
      <w:r w:rsidR="00581C98">
        <w:rPr>
          <w:rFonts w:ascii="Georgia" w:hAnsi="Georgia" w:cs="Calibri"/>
          <w:bCs/>
        </w:rPr>
        <w:lastRenderedPageBreak/>
        <w:t xml:space="preserve">nådd forskningsstøtten gjennom andre kanaler. </w:t>
      </w:r>
      <w:r w:rsidR="00B65B8E">
        <w:rPr>
          <w:rFonts w:ascii="Georgia" w:hAnsi="Georgia" w:cs="Calibri"/>
          <w:bCs/>
        </w:rPr>
        <w:t>N</w:t>
      </w:r>
      <w:r w:rsidR="004F02DA">
        <w:rPr>
          <w:rFonts w:ascii="Georgia" w:hAnsi="Georgia" w:cs="Calibri"/>
          <w:bCs/>
        </w:rPr>
        <w:t xml:space="preserve">år nye regelverk blir introdusert eller rutinene på UiO skjerpet er det </w:t>
      </w:r>
      <w:r w:rsidR="00B65B8E">
        <w:rPr>
          <w:rFonts w:ascii="Georgia" w:hAnsi="Georgia" w:cs="Calibri"/>
          <w:bCs/>
        </w:rPr>
        <w:t xml:space="preserve">derfor </w:t>
      </w:r>
      <w:r w:rsidR="0045267B">
        <w:rPr>
          <w:rFonts w:ascii="Georgia" w:hAnsi="Georgia" w:cs="Calibri"/>
          <w:bCs/>
        </w:rPr>
        <w:t>viktig</w:t>
      </w:r>
      <w:r w:rsidR="004F02DA">
        <w:rPr>
          <w:rFonts w:ascii="Georgia" w:hAnsi="Georgia" w:cs="Calibri"/>
          <w:bCs/>
        </w:rPr>
        <w:t xml:space="preserve"> at informasjonen når rådgiverne på grunnenhetene </w:t>
      </w:r>
      <w:r w:rsidR="00E13CB8">
        <w:rPr>
          <w:rFonts w:ascii="Georgia" w:hAnsi="Georgia" w:cs="Calibri"/>
          <w:bCs/>
        </w:rPr>
        <w:t xml:space="preserve">fort og at informasjonen er forståelig. </w:t>
      </w:r>
      <w:r>
        <w:rPr>
          <w:rFonts w:ascii="Georgia" w:hAnsi="Georgia" w:cs="Calibri"/>
          <w:bCs/>
        </w:rPr>
        <w:br/>
      </w:r>
    </w:p>
    <w:p w14:paraId="36D379D3" w14:textId="77777777" w:rsidR="002B5583" w:rsidRPr="002B5583" w:rsidRDefault="002B5583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2B5583">
        <w:rPr>
          <w:rFonts w:ascii="Georgia" w:hAnsi="Georgia" w:cs="Calibri"/>
          <w:b/>
        </w:rPr>
        <w:t>Forslag til tiltak</w:t>
      </w:r>
    </w:p>
    <w:p w14:paraId="69F5695E" w14:textId="42E56EDC" w:rsidR="00210FD8" w:rsidRDefault="00C1481E" w:rsidP="007A53AF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br/>
        <w:t xml:space="preserve">1) Tilbakemeldingene etter webinaret tilsier at kurset var veldig nyttig og nødvendig for de som deltok. </w:t>
      </w:r>
      <w:r w:rsidR="00AC6601">
        <w:rPr>
          <w:rFonts w:ascii="Georgia" w:hAnsi="Georgia" w:cs="Calibri"/>
          <w:bCs/>
        </w:rPr>
        <w:t>Innholdet</w:t>
      </w:r>
      <w:r w:rsidR="00D20D72">
        <w:rPr>
          <w:rFonts w:ascii="Georgia" w:hAnsi="Georgia" w:cs="Calibri"/>
          <w:bCs/>
        </w:rPr>
        <w:t xml:space="preserve"> </w:t>
      </w:r>
      <w:r w:rsidR="003D096D">
        <w:rPr>
          <w:rFonts w:ascii="Georgia" w:hAnsi="Georgia" w:cs="Calibri"/>
          <w:bCs/>
        </w:rPr>
        <w:t>er relevant for forskningsstøtten på tvers av UiO</w:t>
      </w:r>
      <w:r w:rsidR="00AC6601">
        <w:rPr>
          <w:rFonts w:ascii="Georgia" w:hAnsi="Georgia" w:cs="Calibri"/>
          <w:bCs/>
        </w:rPr>
        <w:t xml:space="preserve"> og p</w:t>
      </w:r>
      <w:r w:rsidR="001B04AB">
        <w:rPr>
          <w:rFonts w:ascii="Georgia" w:hAnsi="Georgia" w:cs="Calibri"/>
          <w:bCs/>
        </w:rPr>
        <w:t>å grunn av turnover og endringer i rutinene er det avgjørende at UiO s</w:t>
      </w:r>
      <w:r w:rsidR="002E503E">
        <w:rPr>
          <w:rFonts w:ascii="Georgia" w:hAnsi="Georgia" w:cs="Calibri"/>
          <w:bCs/>
        </w:rPr>
        <w:t xml:space="preserve">ørger for </w:t>
      </w:r>
      <w:r w:rsidR="00DE2141">
        <w:rPr>
          <w:rFonts w:ascii="Georgia" w:hAnsi="Georgia" w:cs="Calibri"/>
          <w:bCs/>
        </w:rPr>
        <w:t>et regulært opplæringstilbud</w:t>
      </w:r>
      <w:r w:rsidR="002E503E">
        <w:rPr>
          <w:rFonts w:ascii="Georgia" w:hAnsi="Georgia" w:cs="Calibri"/>
          <w:bCs/>
        </w:rPr>
        <w:t xml:space="preserve">. Å organisere </w:t>
      </w:r>
      <w:r w:rsidR="00B92597">
        <w:rPr>
          <w:rFonts w:ascii="Georgia" w:hAnsi="Georgia" w:cs="Calibri"/>
          <w:bCs/>
        </w:rPr>
        <w:t>slik kompetanseheving</w:t>
      </w:r>
      <w:r w:rsidR="002E503E">
        <w:rPr>
          <w:rFonts w:ascii="Georgia" w:hAnsi="Georgia" w:cs="Calibri"/>
          <w:bCs/>
        </w:rPr>
        <w:t xml:space="preserve"> som bestillingskurs er </w:t>
      </w:r>
      <w:r w:rsidR="00AB4E8E">
        <w:rPr>
          <w:rFonts w:ascii="Georgia" w:hAnsi="Georgia" w:cs="Calibri"/>
          <w:bCs/>
        </w:rPr>
        <w:t xml:space="preserve">derfor </w:t>
      </w:r>
      <w:r w:rsidR="002E503E">
        <w:rPr>
          <w:rFonts w:ascii="Georgia" w:hAnsi="Georgia" w:cs="Calibri"/>
          <w:bCs/>
        </w:rPr>
        <w:t xml:space="preserve">lite hensiktsmessig. </w:t>
      </w:r>
      <w:r w:rsidR="00392850">
        <w:rPr>
          <w:rFonts w:ascii="Georgia" w:hAnsi="Georgia" w:cs="Calibri"/>
          <w:bCs/>
        </w:rPr>
        <w:t xml:space="preserve">Ressursgruppen </w:t>
      </w:r>
      <w:r>
        <w:rPr>
          <w:rFonts w:ascii="Georgia" w:hAnsi="Georgia" w:cs="Calibri"/>
          <w:bCs/>
        </w:rPr>
        <w:t xml:space="preserve">forslår </w:t>
      </w:r>
      <w:r w:rsidR="00392850">
        <w:rPr>
          <w:rFonts w:ascii="Georgia" w:hAnsi="Georgia" w:cs="Calibri"/>
          <w:bCs/>
        </w:rPr>
        <w:t xml:space="preserve">at </w:t>
      </w:r>
      <w:r>
        <w:rPr>
          <w:rFonts w:ascii="Georgia" w:hAnsi="Georgia" w:cs="Calibri"/>
          <w:bCs/>
        </w:rPr>
        <w:t>et slikt</w:t>
      </w:r>
      <w:r w:rsidR="00392850">
        <w:rPr>
          <w:rFonts w:ascii="Georgia" w:hAnsi="Georgia" w:cs="Calibri"/>
          <w:bCs/>
        </w:rPr>
        <w:t xml:space="preserve"> kurs</w:t>
      </w:r>
      <w:r w:rsidR="00761A06">
        <w:rPr>
          <w:rFonts w:ascii="Georgia" w:hAnsi="Georgia" w:cs="Calibri"/>
          <w:bCs/>
        </w:rPr>
        <w:t>tilbud</w:t>
      </w:r>
      <w:r w:rsidR="00392850">
        <w:rPr>
          <w:rFonts w:ascii="Georgia" w:hAnsi="Georgia" w:cs="Calibri"/>
          <w:bCs/>
        </w:rPr>
        <w:t xml:space="preserve"> holdes </w:t>
      </w:r>
      <w:r w:rsidR="001579BE">
        <w:rPr>
          <w:rFonts w:ascii="Georgia" w:hAnsi="Georgia" w:cs="Calibri"/>
          <w:bCs/>
        </w:rPr>
        <w:t xml:space="preserve">av </w:t>
      </w:r>
      <w:r w:rsidR="00AB4E8E">
        <w:rPr>
          <w:rFonts w:ascii="Georgia" w:hAnsi="Georgia" w:cs="Calibri"/>
          <w:bCs/>
        </w:rPr>
        <w:t>ØVA</w:t>
      </w:r>
      <w:r w:rsidR="001579BE">
        <w:rPr>
          <w:rFonts w:ascii="Georgia" w:hAnsi="Georgia" w:cs="Calibri"/>
          <w:bCs/>
        </w:rPr>
        <w:t xml:space="preserve"> </w:t>
      </w:r>
      <w:r w:rsidR="00761A06">
        <w:rPr>
          <w:rFonts w:ascii="Georgia" w:hAnsi="Georgia" w:cs="Calibri"/>
          <w:bCs/>
        </w:rPr>
        <w:t xml:space="preserve">regelmessig og i forutsigbare intervaller, f.eks. </w:t>
      </w:r>
      <w:r w:rsidR="00392850">
        <w:rPr>
          <w:rFonts w:ascii="Georgia" w:hAnsi="Georgia" w:cs="Calibri"/>
          <w:bCs/>
        </w:rPr>
        <w:t>årlig</w:t>
      </w:r>
      <w:r w:rsidR="00761A06">
        <w:rPr>
          <w:rFonts w:ascii="Georgia" w:hAnsi="Georgia" w:cs="Calibri"/>
          <w:bCs/>
        </w:rPr>
        <w:t xml:space="preserve"> eller </w:t>
      </w:r>
      <w:r w:rsidR="00392850">
        <w:rPr>
          <w:rFonts w:ascii="Georgia" w:hAnsi="Georgia" w:cs="Calibri"/>
          <w:bCs/>
        </w:rPr>
        <w:t>en gang per semester</w:t>
      </w:r>
      <w:r w:rsidR="00761A06">
        <w:rPr>
          <w:rFonts w:ascii="Georgia" w:hAnsi="Georgia" w:cs="Calibri"/>
          <w:bCs/>
        </w:rPr>
        <w:t xml:space="preserve">. Det bør også vurderes om formatet </w:t>
      </w:r>
      <w:r w:rsidR="00736258">
        <w:rPr>
          <w:rFonts w:ascii="Georgia" w:hAnsi="Georgia" w:cs="Calibri"/>
          <w:bCs/>
        </w:rPr>
        <w:t xml:space="preserve">skal </w:t>
      </w:r>
      <w:r w:rsidR="007F1469">
        <w:rPr>
          <w:rFonts w:ascii="Georgia" w:hAnsi="Georgia" w:cs="Calibri"/>
          <w:bCs/>
        </w:rPr>
        <w:t xml:space="preserve">tilpasses, f.eks. ved at kurset deles i to og at det brukes mer tid på de ulike delene. </w:t>
      </w:r>
      <w:r w:rsidR="001579BE">
        <w:rPr>
          <w:rFonts w:ascii="Georgia" w:hAnsi="Georgia" w:cs="Calibri"/>
          <w:bCs/>
        </w:rPr>
        <w:br/>
      </w:r>
      <w:r w:rsidR="001579BE">
        <w:rPr>
          <w:rFonts w:ascii="Georgia" w:hAnsi="Georgia" w:cs="Calibri"/>
          <w:bCs/>
        </w:rPr>
        <w:br/>
        <w:t xml:space="preserve">2) </w:t>
      </w:r>
      <w:r w:rsidR="007A53AF">
        <w:rPr>
          <w:rFonts w:ascii="Georgia" w:hAnsi="Georgia" w:cs="Calibri"/>
          <w:bCs/>
        </w:rPr>
        <w:t xml:space="preserve">For å sikre bedre informasjonsflyt og samarbeid </w:t>
      </w:r>
      <w:r w:rsidR="00931895">
        <w:rPr>
          <w:rFonts w:ascii="Georgia" w:hAnsi="Georgia" w:cs="Calibri"/>
          <w:bCs/>
        </w:rPr>
        <w:t>bør</w:t>
      </w:r>
      <w:r w:rsidR="007A53AF">
        <w:rPr>
          <w:rFonts w:ascii="Georgia" w:hAnsi="Georgia" w:cs="Calibri"/>
          <w:bCs/>
        </w:rPr>
        <w:t xml:space="preserve"> ressursgruppen </w:t>
      </w:r>
      <w:r w:rsidR="00AB4E8E">
        <w:rPr>
          <w:rFonts w:ascii="Georgia" w:hAnsi="Georgia" w:cs="Calibri"/>
          <w:bCs/>
        </w:rPr>
        <w:t xml:space="preserve">være i </w:t>
      </w:r>
      <w:r w:rsidR="007A53AF">
        <w:rPr>
          <w:rFonts w:ascii="Georgia" w:hAnsi="Georgia" w:cs="Calibri"/>
          <w:bCs/>
        </w:rPr>
        <w:t>tettere kontakt med økonomiseksjonen</w:t>
      </w:r>
      <w:r w:rsidR="00D96EFD">
        <w:rPr>
          <w:rFonts w:ascii="Georgia" w:hAnsi="Georgia" w:cs="Calibri"/>
          <w:bCs/>
        </w:rPr>
        <w:t>. V</w:t>
      </w:r>
      <w:r w:rsidR="007A53AF">
        <w:rPr>
          <w:rFonts w:ascii="Georgia" w:hAnsi="Georgia" w:cs="Calibri"/>
          <w:bCs/>
        </w:rPr>
        <w:t xml:space="preserve">i </w:t>
      </w:r>
      <w:r w:rsidR="009F3299">
        <w:rPr>
          <w:rFonts w:ascii="Georgia" w:hAnsi="Georgia" w:cs="Calibri"/>
          <w:bCs/>
        </w:rPr>
        <w:t>ønsker</w:t>
      </w:r>
      <w:r w:rsidR="00D96EFD">
        <w:rPr>
          <w:rFonts w:ascii="Georgia" w:hAnsi="Georgia" w:cs="Calibri"/>
          <w:bCs/>
        </w:rPr>
        <w:t xml:space="preserve"> derfor</w:t>
      </w:r>
      <w:r w:rsidR="007A53AF">
        <w:rPr>
          <w:rFonts w:ascii="Georgia" w:hAnsi="Georgia" w:cs="Calibri"/>
          <w:bCs/>
        </w:rPr>
        <w:t xml:space="preserve"> et møte for å diskutere hvordan vi </w:t>
      </w:r>
      <w:r w:rsidR="00736258">
        <w:rPr>
          <w:rFonts w:ascii="Georgia" w:hAnsi="Georgia" w:cs="Calibri"/>
          <w:bCs/>
        </w:rPr>
        <w:t xml:space="preserve">i felleskap </w:t>
      </w:r>
      <w:r w:rsidR="007A53AF">
        <w:rPr>
          <w:rFonts w:ascii="Georgia" w:hAnsi="Georgia" w:cs="Calibri"/>
          <w:bCs/>
        </w:rPr>
        <w:t xml:space="preserve">kan tilrettelegge for </w:t>
      </w:r>
      <w:r w:rsidR="009F3299">
        <w:rPr>
          <w:rFonts w:ascii="Georgia" w:hAnsi="Georgia" w:cs="Calibri"/>
          <w:bCs/>
        </w:rPr>
        <w:t>at forskningsstøtten får kompetansen og informasjonen de behøver</w:t>
      </w:r>
      <w:r w:rsidR="007A53AF">
        <w:rPr>
          <w:rFonts w:ascii="Georgia" w:hAnsi="Georgia" w:cs="Calibri"/>
          <w:bCs/>
        </w:rPr>
        <w:t xml:space="preserve">. En mulighet er </w:t>
      </w:r>
      <w:r w:rsidR="00736258">
        <w:rPr>
          <w:rFonts w:ascii="Georgia" w:hAnsi="Georgia" w:cs="Calibri"/>
          <w:bCs/>
        </w:rPr>
        <w:t xml:space="preserve">å </w:t>
      </w:r>
      <w:r w:rsidR="007A53AF">
        <w:rPr>
          <w:rFonts w:ascii="Georgia" w:hAnsi="Georgia" w:cs="Calibri"/>
          <w:bCs/>
        </w:rPr>
        <w:t>invitere en representant fra ØVA inn i ressursgruppen for å sikre bedre kompetanse om økonomi i gruppen. På den måten vil det være lettere å tilrettelegge for bedre samarbeid mellom forskningsrådgivere og økonomer i drift av eksternfinansierte prosjekter.</w:t>
      </w:r>
      <w:r w:rsidR="00B64945">
        <w:rPr>
          <w:rFonts w:ascii="Georgia" w:hAnsi="Georgia" w:cs="Calibri"/>
          <w:bCs/>
        </w:rPr>
        <w:t xml:space="preserve"> </w:t>
      </w:r>
    </w:p>
    <w:p w14:paraId="44E32787" w14:textId="77777777" w:rsidR="00A5481A" w:rsidRDefault="00A5481A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6F5FA126" w14:textId="6441687E" w:rsidR="00A5481A" w:rsidRPr="007A53AF" w:rsidRDefault="00A5481A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 w:rsidRPr="007A53AF">
        <w:rPr>
          <w:rFonts w:ascii="Georgia" w:hAnsi="Georgia" w:cs="Calibri"/>
          <w:bCs/>
        </w:rPr>
        <w:t xml:space="preserve">3) </w:t>
      </w:r>
      <w:r w:rsidR="007A53AF" w:rsidRPr="007A53AF">
        <w:rPr>
          <w:rFonts w:ascii="Georgia" w:hAnsi="Georgia" w:cs="Calibri"/>
          <w:bCs/>
        </w:rPr>
        <w:t>Vi forslår videre at det op</w:t>
      </w:r>
      <w:r w:rsidR="007A53AF" w:rsidRPr="00B02476">
        <w:rPr>
          <w:rFonts w:ascii="Georgia" w:hAnsi="Georgia" w:cs="Calibri"/>
          <w:bCs/>
        </w:rPr>
        <w:t>prett</w:t>
      </w:r>
      <w:r w:rsidR="007A53AF">
        <w:rPr>
          <w:rFonts w:ascii="Georgia" w:hAnsi="Georgia" w:cs="Calibri"/>
          <w:bCs/>
        </w:rPr>
        <w:t xml:space="preserve">es en rutine for hvordan endringer i regelverk og rutiner kommuniseres i organisasjonen. Ved større endringer </w:t>
      </w:r>
      <w:r w:rsidR="00F559D4">
        <w:rPr>
          <w:rFonts w:ascii="Georgia" w:hAnsi="Georgia" w:cs="Calibri"/>
          <w:bCs/>
        </w:rPr>
        <w:t xml:space="preserve">bør </w:t>
      </w:r>
      <w:r w:rsidR="00931895">
        <w:rPr>
          <w:rFonts w:ascii="Georgia" w:hAnsi="Georgia" w:cs="Calibri"/>
          <w:bCs/>
        </w:rPr>
        <w:t>ØVA</w:t>
      </w:r>
      <w:r w:rsidR="00F559D4">
        <w:rPr>
          <w:rFonts w:ascii="Georgia" w:hAnsi="Georgia" w:cs="Calibri"/>
          <w:bCs/>
        </w:rPr>
        <w:t xml:space="preserve"> ta initiativ til </w:t>
      </w:r>
      <w:r w:rsidR="003F5F22">
        <w:rPr>
          <w:rFonts w:ascii="Georgia" w:hAnsi="Georgia" w:cs="Calibri"/>
          <w:bCs/>
        </w:rPr>
        <w:t xml:space="preserve">seminarer eller </w:t>
      </w:r>
      <w:proofErr w:type="spellStart"/>
      <w:r w:rsidR="003F5F22">
        <w:rPr>
          <w:rFonts w:ascii="Georgia" w:hAnsi="Georgia" w:cs="Calibri"/>
          <w:bCs/>
        </w:rPr>
        <w:t>webinarer</w:t>
      </w:r>
      <w:proofErr w:type="spellEnd"/>
      <w:r w:rsidR="007A53AF">
        <w:rPr>
          <w:rFonts w:ascii="Georgia" w:hAnsi="Georgia" w:cs="Calibri"/>
          <w:bCs/>
        </w:rPr>
        <w:t xml:space="preserve"> </w:t>
      </w:r>
      <w:r w:rsidR="003F5F22">
        <w:rPr>
          <w:rFonts w:ascii="Georgia" w:hAnsi="Georgia" w:cs="Calibri"/>
          <w:bCs/>
        </w:rPr>
        <w:t xml:space="preserve">som er åpent for hele </w:t>
      </w:r>
      <w:r w:rsidR="00EE4E0A">
        <w:rPr>
          <w:rFonts w:ascii="Georgia" w:hAnsi="Georgia" w:cs="Calibri"/>
          <w:bCs/>
        </w:rPr>
        <w:t xml:space="preserve">forskningsstøtten, dvs. både </w:t>
      </w:r>
      <w:r w:rsidR="003F5F22">
        <w:rPr>
          <w:rFonts w:ascii="Georgia" w:hAnsi="Georgia" w:cs="Calibri"/>
          <w:bCs/>
        </w:rPr>
        <w:t>prosjektøkonomer</w:t>
      </w:r>
      <w:r w:rsidR="00EE4E0A">
        <w:rPr>
          <w:rFonts w:ascii="Georgia" w:hAnsi="Georgia" w:cs="Calibri"/>
          <w:bCs/>
        </w:rPr>
        <w:t>,</w:t>
      </w:r>
      <w:r w:rsidR="003F5F22">
        <w:rPr>
          <w:rFonts w:ascii="Georgia" w:hAnsi="Georgia" w:cs="Calibri"/>
          <w:bCs/>
        </w:rPr>
        <w:t xml:space="preserve"> forskningsrådgivere</w:t>
      </w:r>
      <w:r w:rsidR="00EE4E0A">
        <w:rPr>
          <w:rFonts w:ascii="Georgia" w:hAnsi="Georgia" w:cs="Calibri"/>
          <w:bCs/>
        </w:rPr>
        <w:t xml:space="preserve"> og andre som måtte ha interesse.</w:t>
      </w:r>
      <w:r w:rsidR="003F5F22">
        <w:rPr>
          <w:rFonts w:ascii="Georgia" w:hAnsi="Georgia" w:cs="Calibri"/>
          <w:bCs/>
        </w:rPr>
        <w:t xml:space="preserve"> </w:t>
      </w:r>
      <w:r w:rsidR="007A53AF">
        <w:rPr>
          <w:rFonts w:ascii="Georgia" w:hAnsi="Georgia" w:cs="Calibri"/>
          <w:bCs/>
        </w:rPr>
        <w:t>Ressur</w:t>
      </w:r>
      <w:r w:rsidR="00931895">
        <w:rPr>
          <w:rFonts w:ascii="Georgia" w:hAnsi="Georgia" w:cs="Calibri"/>
          <w:bCs/>
        </w:rPr>
        <w:t>s</w:t>
      </w:r>
      <w:r w:rsidR="007A53AF">
        <w:rPr>
          <w:rFonts w:ascii="Georgia" w:hAnsi="Georgia" w:cs="Calibri"/>
          <w:bCs/>
        </w:rPr>
        <w:t xml:space="preserve">gruppen </w:t>
      </w:r>
      <w:r w:rsidR="0079370E">
        <w:rPr>
          <w:rFonts w:ascii="Georgia" w:hAnsi="Georgia" w:cs="Calibri"/>
          <w:bCs/>
        </w:rPr>
        <w:t xml:space="preserve">har god erfaring med å nå hele </w:t>
      </w:r>
      <w:proofErr w:type="spellStart"/>
      <w:r w:rsidR="0079370E">
        <w:rPr>
          <w:rFonts w:ascii="Georgia" w:hAnsi="Georgia" w:cs="Calibri"/>
          <w:bCs/>
        </w:rPr>
        <w:t>forskningstøtten</w:t>
      </w:r>
      <w:proofErr w:type="spellEnd"/>
      <w:r w:rsidR="0079370E">
        <w:rPr>
          <w:rFonts w:ascii="Georgia" w:hAnsi="Georgia" w:cs="Calibri"/>
          <w:bCs/>
        </w:rPr>
        <w:t xml:space="preserve"> og </w:t>
      </w:r>
      <w:r w:rsidR="007A53AF">
        <w:rPr>
          <w:rFonts w:ascii="Georgia" w:hAnsi="Georgia" w:cs="Calibri"/>
          <w:bCs/>
        </w:rPr>
        <w:t xml:space="preserve">kan bistå med </w:t>
      </w:r>
      <w:r w:rsidR="00EE4E0A">
        <w:rPr>
          <w:rFonts w:ascii="Georgia" w:hAnsi="Georgia" w:cs="Calibri"/>
          <w:bCs/>
        </w:rPr>
        <w:t xml:space="preserve">å </w:t>
      </w:r>
      <w:r w:rsidR="007A53AF">
        <w:rPr>
          <w:rFonts w:ascii="Georgia" w:hAnsi="Georgia" w:cs="Calibri"/>
          <w:bCs/>
        </w:rPr>
        <w:t>kommuni</w:t>
      </w:r>
      <w:r w:rsidR="00EE4E0A">
        <w:rPr>
          <w:rFonts w:ascii="Georgia" w:hAnsi="Georgia" w:cs="Calibri"/>
          <w:bCs/>
        </w:rPr>
        <w:t xml:space="preserve">sere </w:t>
      </w:r>
      <w:r w:rsidR="0079370E">
        <w:rPr>
          <w:rFonts w:ascii="Georgia" w:hAnsi="Georgia" w:cs="Calibri"/>
          <w:bCs/>
        </w:rPr>
        <w:t xml:space="preserve">tilbudet ut. </w:t>
      </w:r>
      <w:r w:rsidR="00D92389">
        <w:rPr>
          <w:rFonts w:ascii="Georgia" w:hAnsi="Georgia" w:cs="Calibri"/>
          <w:bCs/>
        </w:rPr>
        <w:t xml:space="preserve">Også Teams-gruppen </w:t>
      </w:r>
      <w:proofErr w:type="spellStart"/>
      <w:r w:rsidR="00F752A1" w:rsidRPr="00B02476">
        <w:rPr>
          <w:rFonts w:ascii="Georgia" w:hAnsi="Georgia" w:cs="Calibri"/>
          <w:bCs/>
          <w:i/>
          <w:iCs/>
        </w:rPr>
        <w:t>Forskerstøtteapperatet</w:t>
      </w:r>
      <w:proofErr w:type="spellEnd"/>
      <w:r w:rsidR="00F752A1" w:rsidRPr="00B02476">
        <w:rPr>
          <w:rFonts w:ascii="Georgia" w:hAnsi="Georgia" w:cs="Calibri"/>
          <w:bCs/>
          <w:i/>
          <w:iCs/>
        </w:rPr>
        <w:t xml:space="preserve"> ved UiO</w:t>
      </w:r>
      <w:r w:rsidR="00F752A1">
        <w:rPr>
          <w:rFonts w:ascii="Georgia" w:hAnsi="Georgia" w:cs="Calibri"/>
          <w:bCs/>
        </w:rPr>
        <w:t xml:space="preserve"> bør brukes i større grad av representanter fra de sentrale enhetene til å kommunisere </w:t>
      </w:r>
      <w:r w:rsidR="00D20D72">
        <w:rPr>
          <w:rFonts w:ascii="Georgia" w:hAnsi="Georgia" w:cs="Calibri"/>
          <w:bCs/>
        </w:rPr>
        <w:t xml:space="preserve">nyheter, endringer i rutiner eller arrangement. </w:t>
      </w:r>
    </w:p>
    <w:p w14:paraId="32F21F45" w14:textId="38685036" w:rsidR="00D1542C" w:rsidRPr="00434B54" w:rsidRDefault="00D1542C" w:rsidP="00D1542C"/>
    <w:sectPr w:rsidR="00D1542C" w:rsidRPr="00434B54" w:rsidSect="003551A9">
      <w:headerReference w:type="default" r:id="rId13"/>
      <w:footerReference w:type="default" r:id="rId14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5F9E" w14:textId="77777777" w:rsidR="00AA595D" w:rsidRDefault="00AA595D" w:rsidP="00B40445">
      <w:pPr>
        <w:spacing w:after="0"/>
      </w:pPr>
      <w:r>
        <w:separator/>
      </w:r>
    </w:p>
  </w:endnote>
  <w:endnote w:type="continuationSeparator" w:id="0">
    <w:p w14:paraId="69594C22" w14:textId="77777777" w:rsidR="00AA595D" w:rsidRDefault="00AA595D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14:paraId="4AFBBB48" w14:textId="77777777" w:rsidTr="004B0BF1">
      <w:tc>
        <w:tcPr>
          <w:tcW w:w="2478" w:type="dxa"/>
        </w:tcPr>
        <w:p w14:paraId="2CC52348" w14:textId="77777777" w:rsidR="002E2A5D" w:rsidRPr="003551A9" w:rsidRDefault="00722818" w:rsidP="00774589">
          <w:pPr>
            <w:pStyle w:val="Heading1"/>
            <w:spacing w:before="0"/>
            <w:outlineLvl w:val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placeholder>
                <w:docPart w:val="1099B0DDB8EF4953AB9D39CDCBA9CDA0"/>
              </w:placeholder>
              <w:showingPlcHdr/>
              <w:dataBinding w:xpath="/root[1]/Enhet[1]" w:storeItemID="{EA55C48B-CB0D-47E0-9FC7-C7C9FE765157}"/>
              <w:text/>
            </w:sdtPr>
            <w:sdtEndPr/>
            <w:sdtContent>
              <w:r w:rsidR="00774589" w:rsidRPr="003551A9">
                <w:rPr>
                  <w:rStyle w:val="PlaceholderText"/>
                  <w:rFonts w:ascii="Arial" w:hAnsi="Arial" w:cs="Arial"/>
                  <w:color w:val="000000" w:themeColor="text1"/>
                  <w:sz w:val="18"/>
                  <w:szCs w:val="18"/>
                </w:rPr>
                <w:t>[Navn på enhet]</w:t>
              </w:r>
            </w:sdtContent>
          </w:sdt>
        </w:p>
        <w:p w14:paraId="21E75EE5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proofErr w:type="spellStart"/>
          <w:r w:rsidRPr="003551A9">
            <w:rPr>
              <w:rStyle w:val="A0"/>
              <w:rFonts w:ascii="Arial" w:hAnsi="Arial" w:cs="Arial"/>
            </w:rPr>
            <w:t>Institiutt</w:t>
          </w:r>
          <w:proofErr w:type="spellEnd"/>
          <w:r w:rsidRPr="003551A9">
            <w:rPr>
              <w:rStyle w:val="A0"/>
              <w:rFonts w:ascii="Arial" w:hAnsi="Arial" w:cs="Arial"/>
            </w:rPr>
            <w:t xml:space="preserve"> / Underavdeling Avdeling</w:t>
          </w:r>
        </w:p>
      </w:tc>
      <w:tc>
        <w:tcPr>
          <w:tcW w:w="2464" w:type="dxa"/>
        </w:tcPr>
        <w:p w14:paraId="44303395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14:paraId="0837C468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L1 </w:t>
          </w:r>
        </w:p>
        <w:p w14:paraId="5E76851F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L2</w:t>
          </w:r>
        </w:p>
        <w:p w14:paraId="03DDF113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Poststed Land</w:t>
          </w:r>
        </w:p>
      </w:tc>
      <w:tc>
        <w:tcPr>
          <w:tcW w:w="2477" w:type="dxa"/>
        </w:tcPr>
        <w:p w14:paraId="74760E36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14:paraId="700C232D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Navn Bygning</w:t>
          </w:r>
        </w:p>
        <w:p w14:paraId="1CAE7567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Gateadresse</w:t>
          </w:r>
        </w:p>
        <w:p w14:paraId="6BDAB43A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Poststed Land</w:t>
          </w:r>
        </w:p>
      </w:tc>
      <w:tc>
        <w:tcPr>
          <w:tcW w:w="2209" w:type="dxa"/>
        </w:tcPr>
        <w:p w14:paraId="4040FDAC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Tlf.: </w:t>
          </w:r>
        </w:p>
        <w:p w14:paraId="185078D8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Faks / Mobil: </w:t>
          </w:r>
        </w:p>
        <w:p w14:paraId="6238A346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E-post: </w:t>
          </w:r>
        </w:p>
        <w:p w14:paraId="31DCA619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Nettadresse</w:t>
          </w:r>
        </w:p>
        <w:p w14:paraId="78DCD59C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</w:p>
      </w:tc>
    </w:tr>
  </w:tbl>
  <w:p w14:paraId="364C8B81" w14:textId="77777777" w:rsidR="002E2A5D" w:rsidRDefault="002E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C66C" w14:textId="77777777" w:rsidR="00AA595D" w:rsidRDefault="00AA595D" w:rsidP="00B40445">
      <w:pPr>
        <w:spacing w:after="0"/>
      </w:pPr>
      <w:r>
        <w:separator/>
      </w:r>
    </w:p>
  </w:footnote>
  <w:footnote w:type="continuationSeparator" w:id="0">
    <w:p w14:paraId="15ACA8E2" w14:textId="77777777" w:rsidR="00AA595D" w:rsidRDefault="00AA595D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9C3" w14:textId="77777777" w:rsidR="00B40445" w:rsidRDefault="002D155D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AE0FE4F" wp14:editId="7488C8FB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55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86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E"/>
    <w:rsid w:val="00016407"/>
    <w:rsid w:val="0003237C"/>
    <w:rsid w:val="00106A5E"/>
    <w:rsid w:val="00113A01"/>
    <w:rsid w:val="001472DF"/>
    <w:rsid w:val="00152B74"/>
    <w:rsid w:val="001579BE"/>
    <w:rsid w:val="001B04AB"/>
    <w:rsid w:val="001B62DF"/>
    <w:rsid w:val="001C06E8"/>
    <w:rsid w:val="001E486D"/>
    <w:rsid w:val="00210FD8"/>
    <w:rsid w:val="002A7270"/>
    <w:rsid w:val="002B40DE"/>
    <w:rsid w:val="002B5583"/>
    <w:rsid w:val="002D155D"/>
    <w:rsid w:val="002E2A5D"/>
    <w:rsid w:val="002E503E"/>
    <w:rsid w:val="002E60FA"/>
    <w:rsid w:val="00301FF9"/>
    <w:rsid w:val="0030594E"/>
    <w:rsid w:val="003125A0"/>
    <w:rsid w:val="003209A6"/>
    <w:rsid w:val="003551A9"/>
    <w:rsid w:val="00355EE8"/>
    <w:rsid w:val="0038047C"/>
    <w:rsid w:val="00382593"/>
    <w:rsid w:val="00392850"/>
    <w:rsid w:val="00395E70"/>
    <w:rsid w:val="003C1CAB"/>
    <w:rsid w:val="003D096D"/>
    <w:rsid w:val="003F1ABC"/>
    <w:rsid w:val="003F5F22"/>
    <w:rsid w:val="00434B54"/>
    <w:rsid w:val="0045267B"/>
    <w:rsid w:val="00493AB1"/>
    <w:rsid w:val="004B0BF1"/>
    <w:rsid w:val="004F02DA"/>
    <w:rsid w:val="004F5DE9"/>
    <w:rsid w:val="004F7A13"/>
    <w:rsid w:val="00500ED7"/>
    <w:rsid w:val="00507968"/>
    <w:rsid w:val="005444E8"/>
    <w:rsid w:val="00581C98"/>
    <w:rsid w:val="005A07EF"/>
    <w:rsid w:val="005C390F"/>
    <w:rsid w:val="005F1501"/>
    <w:rsid w:val="00605805"/>
    <w:rsid w:val="0068671D"/>
    <w:rsid w:val="00694108"/>
    <w:rsid w:val="006E6996"/>
    <w:rsid w:val="00722818"/>
    <w:rsid w:val="00736258"/>
    <w:rsid w:val="00761A06"/>
    <w:rsid w:val="00774589"/>
    <w:rsid w:val="0079370E"/>
    <w:rsid w:val="007A53AF"/>
    <w:rsid w:val="007B38DD"/>
    <w:rsid w:val="007F1469"/>
    <w:rsid w:val="008101BD"/>
    <w:rsid w:val="00867DE8"/>
    <w:rsid w:val="008A583E"/>
    <w:rsid w:val="00931895"/>
    <w:rsid w:val="00954C55"/>
    <w:rsid w:val="009D0116"/>
    <w:rsid w:val="009F3299"/>
    <w:rsid w:val="00A05EFF"/>
    <w:rsid w:val="00A5481A"/>
    <w:rsid w:val="00AA595D"/>
    <w:rsid w:val="00AB4E8E"/>
    <w:rsid w:val="00AC4083"/>
    <w:rsid w:val="00AC6601"/>
    <w:rsid w:val="00AE1B2D"/>
    <w:rsid w:val="00B02476"/>
    <w:rsid w:val="00B12C2A"/>
    <w:rsid w:val="00B40445"/>
    <w:rsid w:val="00B5600F"/>
    <w:rsid w:val="00B64945"/>
    <w:rsid w:val="00B65B8E"/>
    <w:rsid w:val="00B86E07"/>
    <w:rsid w:val="00B92597"/>
    <w:rsid w:val="00BD1BA1"/>
    <w:rsid w:val="00BE7194"/>
    <w:rsid w:val="00C1481E"/>
    <w:rsid w:val="00C317DA"/>
    <w:rsid w:val="00C765EB"/>
    <w:rsid w:val="00CF1416"/>
    <w:rsid w:val="00D147E1"/>
    <w:rsid w:val="00D1542C"/>
    <w:rsid w:val="00D20D72"/>
    <w:rsid w:val="00D5021C"/>
    <w:rsid w:val="00D56633"/>
    <w:rsid w:val="00D92389"/>
    <w:rsid w:val="00D96EFD"/>
    <w:rsid w:val="00DB70FC"/>
    <w:rsid w:val="00DE2141"/>
    <w:rsid w:val="00E13CB8"/>
    <w:rsid w:val="00E1634D"/>
    <w:rsid w:val="00E43EF5"/>
    <w:rsid w:val="00E47FAC"/>
    <w:rsid w:val="00E82534"/>
    <w:rsid w:val="00EE4E0A"/>
    <w:rsid w:val="00EE790A"/>
    <w:rsid w:val="00F559D4"/>
    <w:rsid w:val="00F650E1"/>
    <w:rsid w:val="00F752A1"/>
    <w:rsid w:val="00F94737"/>
    <w:rsid w:val="00F96675"/>
    <w:rsid w:val="00FC5CB1"/>
    <w:rsid w:val="00FC6D41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4422"/>
  <w15:chartTrackingRefBased/>
  <w15:docId w15:val="{FC6BEBE9-D6DA-40D7-B651-2786A35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Halvfet">
    <w:name w:val="Halvfet"/>
    <w:basedOn w:val="Normal"/>
    <w:autoRedefine/>
    <w:rsid w:val="00D1542C"/>
    <w:pPr>
      <w:tabs>
        <w:tab w:val="num" w:pos="720"/>
      </w:tabs>
      <w:spacing w:after="0"/>
    </w:pPr>
    <w:rPr>
      <w:rFonts w:ascii="Concorde BE Regular" w:eastAsia="Times New Roman" w:hAnsi="Concorde BE Regular" w:cs="Times New Roman"/>
      <w:b/>
      <w:bCs/>
      <w:sz w:val="28"/>
      <w:szCs w:val="24"/>
      <w:lang w:eastAsia="nb-NO"/>
    </w:rPr>
  </w:style>
  <w:style w:type="paragraph" w:styleId="Revision">
    <w:name w:val="Revision"/>
    <w:hidden/>
    <w:uiPriority w:val="99"/>
    <w:semiHidden/>
    <w:rsid w:val="00D566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rsid w:val="00694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io.no/for-ansatte/nettverk-moter/fellesadm/fane/forskerstotte-pa-tvers/arrangementer/2023/230316-webinar-om-boa-mva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gvin\Downloads\mal-generelt-notat-bo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9B0DDB8EF4953AB9D39CDCBA9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0D74-DC31-4EF8-A88D-C0E6CDE3191E}"/>
      </w:docPartPr>
      <w:docPartBody>
        <w:p w:rsidR="00655C93" w:rsidRDefault="0064365F" w:rsidP="0064365F">
          <w:pPr>
            <w:pStyle w:val="1099B0DDB8EF4953AB9D39CDCBA9CDA0"/>
          </w:pPr>
          <w:r w:rsidRPr="00B92900">
            <w:rPr>
              <w:rStyle w:val="PlaceholderTex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5F"/>
    <w:rsid w:val="00186A71"/>
    <w:rsid w:val="0064365F"/>
    <w:rsid w:val="00655C93"/>
    <w:rsid w:val="00A43299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5F"/>
    <w:rPr>
      <w:color w:val="auto"/>
    </w:rPr>
  </w:style>
  <w:style w:type="paragraph" w:customStyle="1" w:styleId="1099B0DDB8EF4953AB9D39CDCBA9CDA0">
    <w:name w:val="1099B0DDB8EF4953AB9D39CDCBA9CDA0"/>
    <w:rsid w:val="00643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Enhet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c3d6ed-56f1-49b6-b310-0ff680cfe62a"/>
    <ds:schemaRef ds:uri="3b00a67f-9791-437e-b702-303a706ea0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CC3643-9422-4B55-8D0D-56B363E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</Template>
  <TotalTime>1</TotalTime>
  <Pages>2</Pages>
  <Words>716</Words>
  <Characters>3796</Characters>
  <Application>Microsoft Office Word</Application>
  <DocSecurity>4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Elgvin</dc:creator>
  <cp:keywords/>
  <dc:description/>
  <cp:lastModifiedBy>Maria Olofsson</cp:lastModifiedBy>
  <cp:revision>2</cp:revision>
  <dcterms:created xsi:type="dcterms:W3CDTF">2023-05-16T12:00:00Z</dcterms:created>
  <dcterms:modified xsi:type="dcterms:W3CDTF">2023-05-16T12:00:00Z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