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B8" w:rsidRDefault="004D4B16" w:rsidP="004D4B16">
      <w:pPr>
        <w:pStyle w:val="Overskrift1"/>
      </w:pPr>
      <w:r>
        <w:t xml:space="preserve">Kommentarer </w:t>
      </w:r>
      <w:r w:rsidR="00B17702">
        <w:t xml:space="preserve">fra Hovedverneombudet </w:t>
      </w:r>
      <w:r>
        <w:t xml:space="preserve">til </w:t>
      </w:r>
      <w:proofErr w:type="spellStart"/>
      <w:r>
        <w:t>Powerpoint</w:t>
      </w:r>
      <w:proofErr w:type="spellEnd"/>
      <w:r>
        <w:t xml:space="preserve"> av Erik Munthe Kaas</w:t>
      </w:r>
      <w:r w:rsidR="0003112A">
        <w:t xml:space="preserve">, </w:t>
      </w:r>
      <w:r w:rsidR="00B17702">
        <w:t>vedrørende b</w:t>
      </w:r>
      <w:r>
        <w:t>yggesaker</w:t>
      </w:r>
      <w:r w:rsidR="00B17702">
        <w:t xml:space="preserve"> i lys av arbeidsmiljøloven</w:t>
      </w:r>
      <w:bookmarkStart w:id="0" w:name="_GoBack"/>
      <w:bookmarkEnd w:id="0"/>
    </w:p>
    <w:p w:rsidR="004D4B16" w:rsidRDefault="004D4B16" w:rsidP="004D4B16"/>
    <w:p w:rsidR="00DB60A7" w:rsidRDefault="00DB60A7" w:rsidP="00DB60A7">
      <w:r>
        <w:t xml:space="preserve">I forhold til behandling av byggesaker i lys av arbeidsmiljøloven (AML) og hovedavtalen, så ser jeg behov for følgende avklaring, først </w:t>
      </w:r>
      <w:proofErr w:type="spellStart"/>
      <w:r>
        <w:t>ifht</w:t>
      </w:r>
      <w:proofErr w:type="spellEnd"/>
      <w:r>
        <w:t xml:space="preserve"> AML: </w:t>
      </w:r>
    </w:p>
    <w:p w:rsidR="00DB60A7" w:rsidRDefault="00DB60A7" w:rsidP="00DB60A7">
      <w:r w:rsidRPr="00DB60A7">
        <w:rPr>
          <w:b/>
        </w:rPr>
        <w:t>§1-2</w:t>
      </w:r>
      <w:r>
        <w:t xml:space="preserve"> ikke gir rom for at andre deler enn kapittel 14,15, 16 og 17 kan gå ut i tjenestemannslov, og </w:t>
      </w:r>
    </w:p>
    <w:p w:rsidR="00DB60A7" w:rsidRDefault="00DB60A7" w:rsidP="00DB60A7">
      <w:r w:rsidRPr="00DB60A7">
        <w:rPr>
          <w:b/>
        </w:rPr>
        <w:t>§1-9</w:t>
      </w:r>
      <w:r>
        <w:t xml:space="preserve"> sier at arbeidsmiljøloven ikke kan fravikes til ugunst for arbeidstaker medmindre det er særskilt fastsatt. </w:t>
      </w:r>
    </w:p>
    <w:p w:rsidR="00DB60A7" w:rsidRDefault="00DB60A7" w:rsidP="00DB60A7">
      <w:r w:rsidRPr="00DB60A7">
        <w:rPr>
          <w:b/>
        </w:rPr>
        <w:t>§7-2</w:t>
      </w:r>
      <w:r>
        <w:t xml:space="preserve"> gir ikke noen unntak, så den gjelder (DVS spesielt i denne sammenhengen</w:t>
      </w:r>
      <w:r>
        <w:br/>
        <w:t xml:space="preserve">c) planer som krever Arbeidstilsynets samtykke i henhold til § 18-9, </w:t>
      </w:r>
      <w:r>
        <w:br/>
        <w:t xml:space="preserve">d) andre planer som kan få vesentlig betydning for arbeidsmiljøet, så som planer om byggearbeider, innkjøp av maskiner, rasjonalisering, arbeidsprosesser, og forebyggende vernetiltak,  </w:t>
      </w:r>
    </w:p>
    <w:p w:rsidR="00DB60A7" w:rsidRDefault="00DB60A7" w:rsidP="00DB60A7">
      <w:r w:rsidRPr="00DB60A7">
        <w:rPr>
          <w:b/>
        </w:rPr>
        <w:t>§8-1</w:t>
      </w:r>
      <w:r>
        <w:t xml:space="preserve"> gir plikt om informasjon og drøfting om spørsmål av betydning for arbeidstakernes arbeidsforhold (byggesaker er relevant her)</w:t>
      </w:r>
    </w:p>
    <w:p w:rsidR="00DB60A7" w:rsidRDefault="00DB60A7" w:rsidP="00DB60A7">
      <w:r w:rsidRPr="00DB60A7">
        <w:rPr>
          <w:b/>
        </w:rPr>
        <w:t>§8-2</w:t>
      </w:r>
      <w:r>
        <w:t xml:space="preserve"> kan fravikes ved tariffavtale (jeg regner med at HTA regulerer dette)</w:t>
      </w:r>
    </w:p>
    <w:p w:rsidR="00DB60A7" w:rsidRDefault="00DB60A7" w:rsidP="00DB60A7">
      <w:r w:rsidRPr="00DB60A7">
        <w:rPr>
          <w:b/>
        </w:rPr>
        <w:t>§18-9</w:t>
      </w:r>
      <w:r>
        <w:t xml:space="preserve"> omhandler Arbeidstilsynets samtykke ved oppføring av bygning mv.</w:t>
      </w:r>
    </w:p>
    <w:p w:rsidR="00DB60A7" w:rsidRPr="00F662F5" w:rsidRDefault="00DB60A7" w:rsidP="00DB60A7">
      <w:r w:rsidRPr="00F662F5">
        <w:rPr>
          <w:b/>
        </w:rPr>
        <w:t>MAO så skal byggesaker både informeres om og drøftes før det behandles i AMU i henhold til loven som i bunn og grunn er ufravikeli</w:t>
      </w:r>
      <w:r w:rsidRPr="00F662F5">
        <w:t xml:space="preserve">g. </w:t>
      </w:r>
    </w:p>
    <w:p w:rsidR="00DB60A7" w:rsidRDefault="00DB60A7" w:rsidP="00DB60A7">
      <w:r>
        <w:t xml:space="preserve">Det hovedavtalen regulerer endrer med andre ord ikke §7-2, men den kan endre det som faller inn under §8-2. </w:t>
      </w:r>
    </w:p>
    <w:p w:rsidR="00DB60A7" w:rsidRDefault="00DB60A7" w:rsidP="00DB60A7">
      <w:r>
        <w:t xml:space="preserve">Så når HTA §25 sier at spørsmål knyttet til AML §7-2 (2) d skal behandles etter reglene i hovedavtalen kan ikke det forstås som noe annet enn ett tillegg til den behandlingen arbeidsmiljøloven legger opp til i §7-2.  </w:t>
      </w:r>
    </w:p>
    <w:p w:rsidR="00DB60A7" w:rsidRDefault="00DB60A7" w:rsidP="00DB60A7">
      <w:r>
        <w:t xml:space="preserve">Det som er problematisk er tolkningen av ordlyden "skal behandle etter reglene i hoved- og tilpasningsavtalen" dersom det tolkes til at det ikke skal behandles noe annet sted. </w:t>
      </w:r>
      <w:r w:rsidRPr="00F662F5">
        <w:rPr>
          <w:u w:val="single"/>
        </w:rPr>
        <w:t>AML gir ikke rom for at §7-2 ikke skal behandles i arbeidsmiljøutvalg</w:t>
      </w:r>
      <w:r>
        <w:t xml:space="preserve">, men den sier ikke at det ikke kan behandles fler steder. </w:t>
      </w:r>
      <w:r w:rsidR="00F662F5">
        <w:t xml:space="preserve">Dette har arbeidstilsynet vært </w:t>
      </w:r>
      <w:r>
        <w:t>tydelig på</w:t>
      </w:r>
      <w:r w:rsidR="00F662F5">
        <w:t xml:space="preserve"> når vi rådfører oss:</w:t>
      </w:r>
      <w:r>
        <w:t xml:space="preserve"> </w:t>
      </w:r>
      <w:r w:rsidR="00F662F5">
        <w:t>D</w:t>
      </w:r>
      <w:r>
        <w:t xml:space="preserve">et er ikke noe i veien, og slettes ikke uvanlig- med behandling to steder, og </w:t>
      </w:r>
      <w:r w:rsidRPr="00F662F5">
        <w:rPr>
          <w:u w:val="single"/>
        </w:rPr>
        <w:t>det å unnlate behandling i AMU er galt</w:t>
      </w:r>
      <w:r>
        <w:t xml:space="preserve">. </w:t>
      </w:r>
    </w:p>
    <w:p w:rsidR="00DB60A7" w:rsidRDefault="00DB60A7" w:rsidP="00DB60A7">
      <w:r>
        <w:t>Så MAO eneste konklusjon jeg kan komme med er at byggesaker og saker om byggearbeid skal i IDF etter HTA og behandles i AMU</w:t>
      </w:r>
      <w:r w:rsidR="00F662F5">
        <w:t xml:space="preserve">. </w:t>
      </w:r>
    </w:p>
    <w:p w:rsidR="00F662F5" w:rsidRDefault="00F662F5" w:rsidP="00DB60A7"/>
    <w:p w:rsidR="00DB60A7" w:rsidRDefault="00DB60A7" w:rsidP="004D4B16"/>
    <w:p w:rsidR="00F662F5" w:rsidRDefault="00F662F5" w:rsidP="004D4B16"/>
    <w:p w:rsidR="00F662F5" w:rsidRDefault="00F662F5" w:rsidP="004D4B16">
      <w:r>
        <w:lastRenderedPageBreak/>
        <w:t xml:space="preserve">Går vi med dette som bakgrunn inn i presentasjonen til Munthe-Kaas, så er det flere steder det er tydelig behov for endringer i hva som kan stå i prosjekthåndboken til EA. </w:t>
      </w:r>
    </w:p>
    <w:p w:rsidR="00234BD3" w:rsidRPr="0039180B" w:rsidRDefault="00234BD3" w:rsidP="004D4B16">
      <w:r w:rsidRPr="00234BD3">
        <w:rPr>
          <w:b/>
        </w:rPr>
        <w:t>Generelt, så bør EA slutte å benytte begrepet «bruker» om enhetene, da dette skaper forvirring i forhold til begrep som</w:t>
      </w:r>
      <w:r w:rsidR="003A18F1">
        <w:rPr>
          <w:b/>
        </w:rPr>
        <w:t xml:space="preserve"> «brukerrepresentant»,</w:t>
      </w:r>
      <w:r w:rsidRPr="00234BD3">
        <w:rPr>
          <w:b/>
        </w:rPr>
        <w:t xml:space="preserve"> «brukermedvirkning» og medvirkning generelt. </w:t>
      </w:r>
      <w:r w:rsidRPr="0039180B">
        <w:t>Ordlyden bør heller være</w:t>
      </w:r>
      <w:r w:rsidRPr="0039180B">
        <w:rPr>
          <w:b/>
        </w:rPr>
        <w:t xml:space="preserve"> </w:t>
      </w:r>
      <w:r w:rsidRPr="0039180B">
        <w:rPr>
          <w:b/>
          <w:i/>
        </w:rPr>
        <w:t xml:space="preserve">enhetsleder </w:t>
      </w:r>
      <w:r w:rsidRPr="0039180B">
        <w:rPr>
          <w:b/>
        </w:rPr>
        <w:t xml:space="preserve">eller </w:t>
      </w:r>
      <w:r w:rsidRPr="0039180B">
        <w:rPr>
          <w:b/>
          <w:i/>
        </w:rPr>
        <w:t>enhet</w:t>
      </w:r>
      <w:r w:rsidRPr="0039180B">
        <w:rPr>
          <w:b/>
        </w:rPr>
        <w:t xml:space="preserve">, </w:t>
      </w:r>
      <w:r w:rsidRPr="0039180B">
        <w:t xml:space="preserve">slik at forvirring unngås. </w:t>
      </w:r>
    </w:p>
    <w:p w:rsidR="00997FFD" w:rsidRPr="00194237" w:rsidRDefault="0039180B" w:rsidP="004D4B16">
      <w:pPr>
        <w:rPr>
          <w:b/>
        </w:rPr>
      </w:pPr>
      <w:r>
        <w:rPr>
          <w:b/>
        </w:rPr>
        <w:t>S2</w:t>
      </w:r>
      <w:r w:rsidR="00D31BF5" w:rsidRPr="00194237">
        <w:rPr>
          <w:b/>
        </w:rPr>
        <w:t>:</w:t>
      </w:r>
      <w:r w:rsidR="00194237">
        <w:rPr>
          <w:b/>
        </w:rPr>
        <w:t xml:space="preserve"> </w:t>
      </w:r>
      <w:r w:rsidR="00D31BF5">
        <w:t>Under punkt 1, så må EA også ta hensyn til Arbeidsmiljøloven</w:t>
      </w:r>
      <w:r>
        <w:t xml:space="preserve"> generelt</w:t>
      </w:r>
      <w:r w:rsidR="0022636F">
        <w:t xml:space="preserve">, </w:t>
      </w:r>
      <w:r>
        <w:t xml:space="preserve">og spesielt </w:t>
      </w:r>
      <w:r w:rsidR="00997FFD">
        <w:t>å sørge for nødvendig m</w:t>
      </w:r>
      <w:r>
        <w:t xml:space="preserve">edvirkning og medbestemmelse </w:t>
      </w:r>
      <w:proofErr w:type="spellStart"/>
      <w:r>
        <w:t>ihht</w:t>
      </w:r>
      <w:proofErr w:type="spellEnd"/>
      <w:r w:rsidR="00997FFD">
        <w:t xml:space="preserve"> AML §6-2 (4) – å sørge for at verneombud får medvirket, §7-2 (1 og 2) – å sørge for behandling i arbeidsmiljøutvalg, §8-1 – sørge for informasjon og drøfting i henhold til hoved- og tilpasningsavtale. </w:t>
      </w:r>
    </w:p>
    <w:p w:rsidR="006132E4" w:rsidRDefault="006132E4" w:rsidP="004D4B16">
      <w:r w:rsidRPr="00194237">
        <w:rPr>
          <w:b/>
        </w:rPr>
        <w:t>S</w:t>
      </w:r>
      <w:r w:rsidR="0039180B">
        <w:rPr>
          <w:b/>
        </w:rPr>
        <w:t>3</w:t>
      </w:r>
      <w:r>
        <w:t xml:space="preserve">: Merk at det er ikke noe krav til «størrelse» </w:t>
      </w:r>
      <w:proofErr w:type="spellStart"/>
      <w:r>
        <w:t>ifht</w:t>
      </w:r>
      <w:proofErr w:type="spellEnd"/>
      <w:r>
        <w:t xml:space="preserve"> arbeidsmiljøloven. </w:t>
      </w:r>
      <w:r w:rsidR="00194237">
        <w:t>Det skilles kun mellom søknadspliktige og ikke søknadspliktige byggeprosjekter i AML §7-2(c), mens plan- og bygningsloven som regulerer søknadsplikten i §93, nevner heller ikke størrelse. AML §7-2 (d) sier også at arbeidsmiljøutvalget skal behandle «</w:t>
      </w:r>
      <w:r w:rsidR="00194237" w:rsidRPr="00194237">
        <w:t>andre planer som kan få vesentlig betydning for arbeidsmiljøet</w:t>
      </w:r>
      <w:r w:rsidR="00194237">
        <w:t>»</w:t>
      </w:r>
    </w:p>
    <w:p w:rsidR="00194237" w:rsidRDefault="00194237" w:rsidP="004D4B16">
      <w:r>
        <w:t xml:space="preserve">DVS. At omfanget for hva som skal behandles i arbeidsmiljøutvalg er større enn kun de store byggeprosjektene. </w:t>
      </w:r>
    </w:p>
    <w:p w:rsidR="00FF326F" w:rsidRDefault="009E46BD" w:rsidP="004D4B16">
      <w:r w:rsidRPr="009E46BD">
        <w:rPr>
          <w:b/>
        </w:rPr>
        <w:t>S5:</w:t>
      </w:r>
      <w:r>
        <w:t xml:space="preserve"> Her må også </w:t>
      </w:r>
      <w:proofErr w:type="spellStart"/>
      <w:r>
        <w:t>vernelinjen</w:t>
      </w:r>
      <w:proofErr w:type="spellEnd"/>
      <w:r>
        <w:t xml:space="preserve"> komme inn, </w:t>
      </w:r>
      <w:proofErr w:type="spellStart"/>
      <w:r>
        <w:t>ref</w:t>
      </w:r>
      <w:proofErr w:type="spellEnd"/>
      <w:r>
        <w:t xml:space="preserve"> tidligere nevnte paragrafer.</w:t>
      </w:r>
    </w:p>
    <w:p w:rsidR="00194237" w:rsidRDefault="00194237" w:rsidP="004D4B16">
      <w:r w:rsidRPr="00234BD3">
        <w:rPr>
          <w:b/>
        </w:rPr>
        <w:t>S8:</w:t>
      </w:r>
      <w:r>
        <w:t xml:space="preserve"> </w:t>
      </w:r>
      <w:r w:rsidR="00CE2484">
        <w:t>Uavhengig av plassering av arbeidsgiveransvar må p</w:t>
      </w:r>
      <w:r>
        <w:t xml:space="preserve">rosjektleder ha ansvar for at </w:t>
      </w:r>
      <w:r w:rsidR="00234BD3">
        <w:t>byggeprosjektet organiseres slik at AML kan følges, og et ansvar i å påse at det blir gjort.</w:t>
      </w:r>
      <w:r w:rsidR="00E14C4B">
        <w:t xml:space="preserve"> Det må være slik fordi ingen andre i praksis vil ha kunnskap og anledning til å følge opp dette underveis i byggeprosessen. </w:t>
      </w:r>
      <w:r w:rsidR="00234BD3">
        <w:t xml:space="preserve">  </w:t>
      </w:r>
    </w:p>
    <w:p w:rsidR="00234BD3" w:rsidRDefault="00234BD3" w:rsidP="004D4B16">
      <w:r w:rsidRPr="00234BD3">
        <w:rPr>
          <w:b/>
        </w:rPr>
        <w:t>S9</w:t>
      </w:r>
      <w:r>
        <w:rPr>
          <w:b/>
        </w:rPr>
        <w:t xml:space="preserve">: </w:t>
      </w:r>
      <w:r>
        <w:t xml:space="preserve">EA kan systematisk stille krav til at det dokumenteres at </w:t>
      </w:r>
      <w:r w:rsidR="00F22FEF">
        <w:t xml:space="preserve">enheten </w:t>
      </w:r>
      <w:r>
        <w:t xml:space="preserve">har vært gjennom nødvendig medvirkning </w:t>
      </w:r>
      <w:proofErr w:type="spellStart"/>
      <w:r w:rsidR="00F22FEF">
        <w:t>ihht</w:t>
      </w:r>
      <w:proofErr w:type="spellEnd"/>
      <w:r w:rsidR="00F22FEF">
        <w:t xml:space="preserve"> AML </w:t>
      </w:r>
      <w:r>
        <w:t xml:space="preserve">i planfasen, eller at dette gjennomføres </w:t>
      </w:r>
      <w:r w:rsidRPr="00F22FEF">
        <w:rPr>
          <w:i/>
        </w:rPr>
        <w:t>før</w:t>
      </w:r>
      <w:r>
        <w:t xml:space="preserve"> de iverksetter tiltak. </w:t>
      </w:r>
    </w:p>
    <w:p w:rsidR="00234BD3" w:rsidRDefault="00700A02" w:rsidP="004D4B16">
      <w:r w:rsidRPr="00700A02">
        <w:rPr>
          <w:b/>
        </w:rPr>
        <w:t>S12:</w:t>
      </w:r>
      <w:r>
        <w:t xml:space="preserve"> Her må vi igjen minne om at ord som «brukerrepresentant» blir misvisende og til forvirring. Bruk Enhetsleder. EAs prosjektleder skal også, som nevnt over </w:t>
      </w:r>
      <w:proofErr w:type="spellStart"/>
      <w:r>
        <w:t>ifht</w:t>
      </w:r>
      <w:proofErr w:type="spellEnd"/>
      <w:r>
        <w:t xml:space="preserve"> s8, påse at enhetsleder iverksetter nødvendig medvirkning, slik at prosjektet som helhet holdes innenfor lovens rammer. </w:t>
      </w:r>
    </w:p>
    <w:p w:rsidR="00700A02" w:rsidRPr="00234BD3" w:rsidRDefault="00700A02" w:rsidP="004D4B16">
      <w:r w:rsidRPr="00700A02">
        <w:rPr>
          <w:b/>
        </w:rPr>
        <w:t>S13:</w:t>
      </w:r>
      <w:r>
        <w:t xml:space="preserve"> «</w:t>
      </w:r>
      <w:r w:rsidRPr="00700A02">
        <w:rPr>
          <w:i/>
        </w:rPr>
        <w:t>Brukerinitiering</w:t>
      </w:r>
      <w:r>
        <w:rPr>
          <w:i/>
        </w:rPr>
        <w:t>»</w:t>
      </w:r>
      <w:r>
        <w:t xml:space="preserve"> bør oversettes til «</w:t>
      </w:r>
      <w:r w:rsidRPr="00700A02">
        <w:rPr>
          <w:i/>
        </w:rPr>
        <w:t>initiert av enhetene</w:t>
      </w:r>
      <w:r>
        <w:t xml:space="preserve">».  </w:t>
      </w:r>
    </w:p>
    <w:p w:rsidR="00995AE0" w:rsidRPr="00700A02" w:rsidRDefault="00700A02" w:rsidP="004D4B16">
      <w:r>
        <w:rPr>
          <w:b/>
        </w:rPr>
        <w:t>S14</w:t>
      </w:r>
      <w:r w:rsidR="00995AE0" w:rsidRPr="00194237">
        <w:rPr>
          <w:b/>
        </w:rPr>
        <w:t>:</w:t>
      </w:r>
      <w:r>
        <w:rPr>
          <w:b/>
        </w:rPr>
        <w:t xml:space="preserve"> </w:t>
      </w:r>
      <w:r>
        <w:t xml:space="preserve">Hele prosjekthåndboken bør </w:t>
      </w:r>
      <w:r w:rsidR="008B13C7">
        <w:t xml:space="preserve">revideres slik at den blir i tråd med lov- og avtaleverk, og fremlegges for AMU når dette er gjort.   </w:t>
      </w:r>
    </w:p>
    <w:p w:rsidR="008B13C7" w:rsidRDefault="00700A02" w:rsidP="00995AE0">
      <w:pPr>
        <w:rPr>
          <w:i/>
        </w:rPr>
      </w:pPr>
      <w:r w:rsidRPr="008B13C7">
        <w:rPr>
          <w:b/>
        </w:rPr>
        <w:t>S15:</w:t>
      </w:r>
      <w:r>
        <w:rPr>
          <w:i/>
        </w:rPr>
        <w:t xml:space="preserve"> </w:t>
      </w:r>
      <w:r w:rsidR="008B13C7" w:rsidRPr="004D5054">
        <w:rPr>
          <w:u w:val="single"/>
        </w:rPr>
        <w:t>Det som står i prosjekthåndboken her bør skrives om i sin helhet.</w:t>
      </w:r>
      <w:r w:rsidR="008B13C7">
        <w:rPr>
          <w:i/>
        </w:rPr>
        <w:t xml:space="preserve"> </w:t>
      </w:r>
    </w:p>
    <w:p w:rsidR="00995AE0" w:rsidRPr="00995AE0" w:rsidRDefault="00995AE0" w:rsidP="00995AE0">
      <w:r w:rsidRPr="00995AE0">
        <w:t xml:space="preserve">Arbeidsmiljøloven sier i klartekst hva som </w:t>
      </w:r>
      <w:r w:rsidRPr="00995AE0">
        <w:rPr>
          <w:i/>
        </w:rPr>
        <w:t>skal behandles</w:t>
      </w:r>
      <w:r w:rsidRPr="00995AE0">
        <w:t xml:space="preserve"> i AMU, </w:t>
      </w:r>
      <w:r w:rsidRPr="00995AE0">
        <w:rPr>
          <w:i/>
        </w:rPr>
        <w:t>og</w:t>
      </w:r>
      <w:r w:rsidRPr="00995AE0">
        <w:t xml:space="preserve"> at en rekke ting skal drøftes, </w:t>
      </w:r>
      <w:proofErr w:type="spellStart"/>
      <w:r w:rsidRPr="00995AE0">
        <w:t>evt</w:t>
      </w:r>
      <w:proofErr w:type="spellEnd"/>
      <w:r w:rsidRPr="00995AE0">
        <w:t xml:space="preserve"> </w:t>
      </w:r>
      <w:proofErr w:type="spellStart"/>
      <w:r w:rsidRPr="00995AE0">
        <w:t>ihht</w:t>
      </w:r>
      <w:proofErr w:type="spellEnd"/>
      <w:r w:rsidRPr="00995AE0">
        <w:t xml:space="preserve"> hovedavtale. Hovedavtale betyr ikke at ting kan tas ut av AMU. </w:t>
      </w:r>
    </w:p>
    <w:p w:rsidR="00995AE0" w:rsidRPr="00995AE0" w:rsidRDefault="00995AE0" w:rsidP="00995AE0">
      <w:r w:rsidRPr="00995AE0">
        <w:rPr>
          <w:i/>
          <w:iCs/>
          <w:color w:val="FF0000"/>
        </w:rPr>
        <w:t xml:space="preserve">«Spørsmål knyttet til arbeidsmiljølovens kapittel 4 som kan få direkte innvirkning på de ansattes arbeidssituasjon eller på virksomhetens drift </w:t>
      </w:r>
      <w:r w:rsidRPr="00995AE0">
        <w:rPr>
          <w:i/>
          <w:iCs/>
          <w:color w:val="FF0000"/>
          <w:u w:val="single"/>
        </w:rPr>
        <w:t xml:space="preserve">skal derimot </w:t>
      </w:r>
      <w:r w:rsidRPr="00995AE0">
        <w:rPr>
          <w:i/>
          <w:iCs/>
          <w:color w:val="FF0000"/>
        </w:rPr>
        <w:t>normalt behandles etter reglene i hovedavtalen og tilpasningsavtalen for UIO»</w:t>
      </w:r>
    </w:p>
    <w:p w:rsidR="00995AE0" w:rsidRPr="00995AE0" w:rsidRDefault="0003112A" w:rsidP="00995AE0">
      <w:r>
        <w:t>Skal denne setningen stå må den endres,</w:t>
      </w:r>
      <w:r w:rsidR="00995AE0" w:rsidRPr="00995AE0">
        <w:t xml:space="preserve"> </w:t>
      </w:r>
      <w:proofErr w:type="spellStart"/>
      <w:r w:rsidR="00995AE0" w:rsidRPr="00995AE0">
        <w:t>f.eks</w:t>
      </w:r>
      <w:proofErr w:type="spellEnd"/>
      <w:r>
        <w:t xml:space="preserve"> slik</w:t>
      </w:r>
      <w:r w:rsidR="00995AE0" w:rsidRPr="00995AE0">
        <w:t>:</w:t>
      </w:r>
    </w:p>
    <w:p w:rsidR="00995AE0" w:rsidRPr="00995AE0" w:rsidRDefault="00995AE0" w:rsidP="00995AE0">
      <w:r w:rsidRPr="00995AE0">
        <w:t>«</w:t>
      </w:r>
      <w:r w:rsidRPr="0003112A">
        <w:rPr>
          <w:i/>
        </w:rPr>
        <w:t xml:space="preserve">Spørsmål knyttet til arbeidsmiljølovens kapittel 4 som kan få direkte innvirkning på de ansattes arbeidssituasjon eller på virksomhetens drift skal </w:t>
      </w:r>
      <w:r w:rsidRPr="0003112A">
        <w:rPr>
          <w:i/>
          <w:u w:val="single"/>
        </w:rPr>
        <w:t xml:space="preserve">også </w:t>
      </w:r>
      <w:r w:rsidRPr="0003112A">
        <w:rPr>
          <w:i/>
        </w:rPr>
        <w:t>normalt behandles etter reglene i hovedavtalen og tilpasningsavtalen for UIO»</w:t>
      </w:r>
    </w:p>
    <w:p w:rsidR="00995AE0" w:rsidRPr="00995AE0" w:rsidRDefault="00995AE0" w:rsidP="00995AE0">
      <w:pPr>
        <w:rPr>
          <w:color w:val="FF0000"/>
        </w:rPr>
      </w:pPr>
      <w:r w:rsidRPr="00995AE0">
        <w:rPr>
          <w:i/>
          <w:iCs/>
          <w:color w:val="FF0000"/>
        </w:rPr>
        <w:t>«Dersom saker etter arbeidsmiljølovens kapittel 4 får vesentlig innvirkning på de ansattes arbeidssituasjon, skal imidlertid saken behandles etter §12 drøfting»</w:t>
      </w:r>
    </w:p>
    <w:p w:rsidR="00995AE0" w:rsidRPr="00995AE0" w:rsidRDefault="00995AE0" w:rsidP="00995AE0">
      <w:r w:rsidRPr="00995AE0">
        <w:t xml:space="preserve">Denne setningen må </w:t>
      </w:r>
      <w:r w:rsidR="0003112A">
        <w:t xml:space="preserve">også </w:t>
      </w:r>
      <w:r w:rsidRPr="00995AE0">
        <w:t>endres</w:t>
      </w:r>
      <w:r w:rsidR="0003112A">
        <w:t>,</w:t>
      </w:r>
      <w:r w:rsidRPr="00995AE0">
        <w:t xml:space="preserve"> til </w:t>
      </w:r>
      <w:proofErr w:type="spellStart"/>
      <w:r w:rsidRPr="00995AE0">
        <w:t>f.eks</w:t>
      </w:r>
      <w:proofErr w:type="spellEnd"/>
      <w:r w:rsidRPr="00995AE0">
        <w:t>:</w:t>
      </w:r>
    </w:p>
    <w:p w:rsidR="00995AE0" w:rsidRPr="00995AE0" w:rsidRDefault="00995AE0" w:rsidP="00995AE0">
      <w:r w:rsidRPr="00995AE0">
        <w:rPr>
          <w:i/>
          <w:iCs/>
        </w:rPr>
        <w:t xml:space="preserve">«Dersom saker etter arbeidsmiljølovens kapittel 4 får vesentlig innvirkning på de ansattes arbeidssituasjon, skal imidlertid saken </w:t>
      </w:r>
      <w:r w:rsidRPr="00995AE0">
        <w:rPr>
          <w:i/>
          <w:iCs/>
          <w:u w:val="single"/>
        </w:rPr>
        <w:t xml:space="preserve">også </w:t>
      </w:r>
      <w:r w:rsidRPr="00995AE0">
        <w:rPr>
          <w:i/>
          <w:iCs/>
        </w:rPr>
        <w:t>behandles etter §12 drøfting»</w:t>
      </w:r>
    </w:p>
    <w:p w:rsidR="00F82CD3" w:rsidRDefault="00995AE0" w:rsidP="004D4B16">
      <w:r w:rsidRPr="004D5054">
        <w:rPr>
          <w:b/>
        </w:rPr>
        <w:t>S16</w:t>
      </w:r>
      <w:r>
        <w:t>: «Rollefordeling i prosjekter som gjennomføres i EA sin Regi»</w:t>
      </w:r>
    </w:p>
    <w:p w:rsidR="00995AE0" w:rsidRDefault="00995AE0" w:rsidP="00995AE0">
      <w:r w:rsidRPr="00995AE0">
        <w:t>EA- blir ikke arbeidsgiver for «bruker» for det om EA bestemmer seg for å kjøre et prosjekt selv. Eiendomsdirektøren har kun arbeidsgiveransvar for ansatte i EA, så dette blir i beste fall klønete formulert. Bruker</w:t>
      </w:r>
      <w:r>
        <w:t>e</w:t>
      </w:r>
      <w:r w:rsidRPr="00995AE0">
        <w:t xml:space="preserve"> må uansett varsles og involveres </w:t>
      </w:r>
      <w:proofErr w:type="spellStart"/>
      <w:r w:rsidRPr="00995AE0">
        <w:t>ihht</w:t>
      </w:r>
      <w:proofErr w:type="spellEnd"/>
      <w:r w:rsidRPr="00995AE0">
        <w:t xml:space="preserve"> AML og HTA.</w:t>
      </w:r>
    </w:p>
    <w:p w:rsidR="004D5054" w:rsidRPr="00995AE0" w:rsidRDefault="004D5054" w:rsidP="00995AE0">
      <w:r>
        <w:t xml:space="preserve">Erfaringen fra tidligere tilsier at verneombud ikke blir kontaktet eller tatt med når EA hyrer inn eksterne aktører til å gjøre disse jobbene. EA må påse at også eksterne aktører som opptrer i prosjektledere også tar ansvar med å sikre medvirkning slik vi har påpekt tidligere. </w:t>
      </w:r>
    </w:p>
    <w:p w:rsidR="00995AE0" w:rsidRDefault="00995AE0" w:rsidP="004D4B16">
      <w:r w:rsidRPr="004D5054">
        <w:rPr>
          <w:b/>
        </w:rPr>
        <w:t>S17:</w:t>
      </w:r>
      <w:r>
        <w:t xml:space="preserve"> «</w:t>
      </w:r>
      <w:r w:rsidRPr="00995AE0">
        <w:t>Bruker-representantens ansvar</w:t>
      </w:r>
      <w:r>
        <w:t>»</w:t>
      </w:r>
      <w:r w:rsidR="004D5054">
        <w:t xml:space="preserve"> </w:t>
      </w:r>
      <w:r w:rsidR="004D5054" w:rsidRPr="004D5054">
        <w:t>=&gt;</w:t>
      </w:r>
      <w:r w:rsidR="004D5054">
        <w:t xml:space="preserve"> «</w:t>
      </w:r>
      <w:proofErr w:type="spellStart"/>
      <w:r w:rsidR="004D5054" w:rsidRPr="004D5054">
        <w:rPr>
          <w:i/>
        </w:rPr>
        <w:t>enhetleders</w:t>
      </w:r>
      <w:proofErr w:type="spellEnd"/>
      <w:r w:rsidR="004D5054">
        <w:t xml:space="preserve"> ansvar»</w:t>
      </w:r>
    </w:p>
    <w:p w:rsidR="00995AE0" w:rsidRDefault="00995AE0" w:rsidP="00995AE0">
      <w:r w:rsidRPr="004D5054">
        <w:rPr>
          <w:b/>
        </w:rPr>
        <w:t>S18</w:t>
      </w:r>
      <w:r>
        <w:t xml:space="preserve"> «Byggesaker-faser»</w:t>
      </w:r>
    </w:p>
    <w:p w:rsidR="009B00FD" w:rsidRDefault="009B00FD" w:rsidP="009B00FD">
      <w:r>
        <w:t>B</w:t>
      </w:r>
      <w:r w:rsidRPr="009B00FD">
        <w:t xml:space="preserve">ehandling i AMU og </w:t>
      </w:r>
      <w:proofErr w:type="spellStart"/>
      <w:r w:rsidRPr="009B00FD">
        <w:t>idf</w:t>
      </w:r>
      <w:proofErr w:type="spellEnd"/>
      <w:r>
        <w:t xml:space="preserve"> må også med i denne planen.</w:t>
      </w:r>
    </w:p>
    <w:p w:rsidR="00F662F5" w:rsidRDefault="0003112A" w:rsidP="00F662F5">
      <w:r>
        <w:t>Generelt</w:t>
      </w:r>
      <w:r w:rsidR="00F662F5">
        <w:t xml:space="preserve"> </w:t>
      </w:r>
      <w:r>
        <w:t xml:space="preserve">vil </w:t>
      </w:r>
      <w:r w:rsidR="00F662F5">
        <w:t xml:space="preserve">vi også påpeke at </w:t>
      </w:r>
      <w:r w:rsidR="00F662F5" w:rsidRPr="0003112A">
        <w:rPr>
          <w:i/>
        </w:rPr>
        <w:t>det er vesentlig at prosjektleder fra Eiendomsavdeling har oversikt over at lovens krav til medvirkning og medbestemmelse blir fulgt</w:t>
      </w:r>
      <w:r w:rsidR="00F662F5">
        <w:t xml:space="preserve">. Selv om det er enhetsleders ansvar å trekke inn </w:t>
      </w:r>
      <w:proofErr w:type="spellStart"/>
      <w:r w:rsidR="00F662F5">
        <w:t>vernelinje</w:t>
      </w:r>
      <w:proofErr w:type="spellEnd"/>
      <w:r w:rsidR="00F662F5">
        <w:t xml:space="preserve"> og </w:t>
      </w:r>
      <w:r w:rsidR="001D6968">
        <w:t xml:space="preserve">tillitsmannsapparat </w:t>
      </w:r>
      <w:r w:rsidR="00F662F5">
        <w:t xml:space="preserve">i henhold til </w:t>
      </w:r>
      <w:r w:rsidR="001D6968">
        <w:t>lov og avtaleverk</w:t>
      </w:r>
      <w:r w:rsidR="00F662F5">
        <w:t xml:space="preserve">, så er det ingenting i veien for at prosjektleder har som oppgave å påse at enhetsleder faktisk </w:t>
      </w:r>
      <w:r w:rsidR="001D6968">
        <w:t xml:space="preserve">gjør dette. </w:t>
      </w:r>
      <w:r w:rsidR="001D6968" w:rsidRPr="0003112A">
        <w:rPr>
          <w:b/>
        </w:rPr>
        <w:t>Prosjektleder bør følge opp at prosjektene er bemannet i henhold til lov og avtaleverk, og behandles i de nødvendige fora, slik som (L)AMU og IDF, og rapportere avvik dersom enhetsleder ikke gjør dette.</w:t>
      </w:r>
      <w:r w:rsidR="001D6968">
        <w:t xml:space="preserve"> </w:t>
      </w:r>
      <w:r w:rsidR="00F662F5">
        <w:t xml:space="preserve">  </w:t>
      </w:r>
    </w:p>
    <w:p w:rsidR="0053195B" w:rsidRDefault="00766E8E" w:rsidP="004D4B16">
      <w:pPr>
        <w:rPr>
          <w:b/>
        </w:rPr>
      </w:pPr>
      <w:r w:rsidRPr="00766E8E">
        <w:rPr>
          <w:b/>
        </w:rPr>
        <w:t>S19:</w:t>
      </w:r>
      <w:r>
        <w:rPr>
          <w:b/>
        </w:rPr>
        <w:t xml:space="preserve"> </w:t>
      </w:r>
      <w:r>
        <w:t>Bruk «enhet», «enhetsleder», «initiert av enhet»</w:t>
      </w:r>
      <w:r>
        <w:rPr>
          <w:b/>
        </w:rPr>
        <w:t>.</w:t>
      </w:r>
      <w:r w:rsidR="0053195B">
        <w:rPr>
          <w:b/>
        </w:rPr>
        <w:t xml:space="preserve"> </w:t>
      </w:r>
    </w:p>
    <w:p w:rsidR="0053195B" w:rsidRDefault="0053195B" w:rsidP="004D4B16">
      <w:r>
        <w:t xml:space="preserve">Punkt to: Enhetsleder involverer </w:t>
      </w:r>
      <w:r w:rsidRPr="0053195B">
        <w:t>L(AMU)</w:t>
      </w:r>
      <w:r>
        <w:t xml:space="preserve">, verneombud, BHT og tillitsvalgte. </w:t>
      </w:r>
    </w:p>
    <w:p w:rsidR="00F82CD3" w:rsidRDefault="0053195B" w:rsidP="004D4B16">
      <w:r w:rsidRPr="0053195B">
        <w:rPr>
          <w:b/>
        </w:rPr>
        <w:t>S20:</w:t>
      </w:r>
      <w:r w:rsidR="00766E8E" w:rsidRPr="0053195B">
        <w:t xml:space="preserve"> </w:t>
      </w:r>
      <w:r>
        <w:t xml:space="preserve">Hva legger EA i begrepet tiltakshaver? Ønsker at dette utdypes/presiseres. </w:t>
      </w:r>
    </w:p>
    <w:p w:rsidR="0053195B" w:rsidRDefault="0053195B" w:rsidP="004D4B16">
      <w:r w:rsidRPr="0053195B">
        <w:rPr>
          <w:b/>
        </w:rPr>
        <w:t>S21:</w:t>
      </w:r>
      <w:r>
        <w:t xml:space="preserve"> punkt 1: EA inviterer enhetsleder, representant for </w:t>
      </w:r>
      <w:proofErr w:type="spellStart"/>
      <w:r>
        <w:t>vernelinje</w:t>
      </w:r>
      <w:proofErr w:type="spellEnd"/>
      <w:r>
        <w:t xml:space="preserve"> og representant for </w:t>
      </w:r>
      <w:proofErr w:type="spellStart"/>
      <w:r>
        <w:t>tjenestemannsorganinsasjonene</w:t>
      </w:r>
      <w:proofErr w:type="spellEnd"/>
      <w:r>
        <w:t xml:space="preserve"> til planleggings- og prosjekteringsmøter.  </w:t>
      </w:r>
    </w:p>
    <w:p w:rsidR="0053195B" w:rsidRDefault="0053195B" w:rsidP="0053195B">
      <w:r>
        <w:t xml:space="preserve">Punkt 2: I </w:t>
      </w:r>
      <w:r w:rsidRPr="0053195B">
        <w:t xml:space="preserve">gjennomføringsfasen er det viktig at </w:t>
      </w:r>
      <w:r w:rsidRPr="00050818">
        <w:rPr>
          <w:i/>
        </w:rPr>
        <w:t xml:space="preserve">enhetsleder, verneombud og tillitsvalgt </w:t>
      </w:r>
      <w:r w:rsidRPr="0053195B">
        <w:t>deltar i alle hovedfaser som gjelder prosjektering, bygging og overlevering.</w:t>
      </w:r>
    </w:p>
    <w:p w:rsidR="0053195B" w:rsidRDefault="00050818" w:rsidP="0053195B">
      <w:r w:rsidRPr="00050818">
        <w:rPr>
          <w:b/>
        </w:rPr>
        <w:t>S22</w:t>
      </w:r>
      <w:r>
        <w:t>: punkt 1:</w:t>
      </w:r>
      <w:r w:rsidRPr="00050818">
        <w:t xml:space="preserve"> </w:t>
      </w:r>
      <w:r>
        <w:t>I god tid orientere</w:t>
      </w:r>
      <w:r w:rsidRPr="00050818">
        <w:t xml:space="preserve"> </w:t>
      </w:r>
      <w:r w:rsidRPr="00050818">
        <w:rPr>
          <w:i/>
        </w:rPr>
        <w:t xml:space="preserve">enhetsleder, verneombud og tillitsvalgt </w:t>
      </w:r>
      <w:r w:rsidRPr="00050818">
        <w:t>om hva som skal foregå og når. (Støyende og støvete arbeider, driftsavbrudd for vann, strøm, ventilasjon etc.).</w:t>
      </w:r>
      <w:r w:rsidR="00A502EE">
        <w:t xml:space="preserve"> Arbeid som påvirker de ansattes arbeidssituasjon vesentlig må informeres om tidsnok til at det kan behandles i (L)AMU ved berørte enheter.  </w:t>
      </w:r>
    </w:p>
    <w:p w:rsidR="00374F6D" w:rsidRDefault="00374F6D" w:rsidP="0053195B">
      <w:r w:rsidRPr="00374F6D">
        <w:rPr>
          <w:b/>
        </w:rPr>
        <w:t>S23</w:t>
      </w:r>
      <w:r>
        <w:t xml:space="preserve">: HVO vil undersøke om hvorvidt </w:t>
      </w:r>
      <w:proofErr w:type="spellStart"/>
      <w:r>
        <w:t>vernelinjen</w:t>
      </w:r>
      <w:proofErr w:type="spellEnd"/>
      <w:r>
        <w:t xml:space="preserve"> har en rolle </w:t>
      </w:r>
      <w:proofErr w:type="spellStart"/>
      <w:r>
        <w:t>ifht</w:t>
      </w:r>
      <w:proofErr w:type="spellEnd"/>
      <w:r>
        <w:t xml:space="preserve"> sluttbefaring. Tar derfor forbehold om behov for endringer. </w:t>
      </w:r>
    </w:p>
    <w:p w:rsidR="00374F6D" w:rsidRDefault="00374F6D" w:rsidP="0053195B">
      <w:r w:rsidRPr="00374F6D">
        <w:rPr>
          <w:b/>
        </w:rPr>
        <w:t>S24:</w:t>
      </w:r>
      <w:r w:rsidR="008A486A">
        <w:rPr>
          <w:b/>
        </w:rPr>
        <w:t xml:space="preserve"> </w:t>
      </w:r>
      <w:r w:rsidR="008A486A">
        <w:t xml:space="preserve">Representant for </w:t>
      </w:r>
      <w:proofErr w:type="spellStart"/>
      <w:r w:rsidR="008A486A">
        <w:t>vernelinje</w:t>
      </w:r>
      <w:proofErr w:type="spellEnd"/>
      <w:r w:rsidR="008A486A">
        <w:t xml:space="preserve"> og representant for </w:t>
      </w:r>
      <w:proofErr w:type="gramStart"/>
      <w:r w:rsidR="008A486A">
        <w:t>tjenestemannsorganisasjonene  bør</w:t>
      </w:r>
      <w:proofErr w:type="gramEnd"/>
      <w:r w:rsidR="008A486A">
        <w:t xml:space="preserve"> inngå i alle punktene. </w:t>
      </w:r>
    </w:p>
    <w:p w:rsidR="008A486A" w:rsidRPr="008A486A" w:rsidRDefault="008A486A" w:rsidP="0053195B">
      <w:r w:rsidRPr="008A486A">
        <w:rPr>
          <w:b/>
        </w:rPr>
        <w:t>S25</w:t>
      </w:r>
      <w:r>
        <w:rPr>
          <w:b/>
        </w:rPr>
        <w:t xml:space="preserve">: </w:t>
      </w:r>
      <w:r>
        <w:t xml:space="preserve">Foreslår at dette tas bort, siden informasjon er utilstrekkelig </w:t>
      </w:r>
      <w:proofErr w:type="spellStart"/>
      <w:r>
        <w:t>ihht</w:t>
      </w:r>
      <w:proofErr w:type="spellEnd"/>
      <w:r>
        <w:t xml:space="preserve"> AML (leders ansvar, verneorganisasjonens medvirkning, og fagforeningenes medbestemmelse). </w:t>
      </w:r>
    </w:p>
    <w:sectPr w:rsidR="008A486A" w:rsidRPr="008A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43"/>
    <w:rsid w:val="00007D30"/>
    <w:rsid w:val="0003112A"/>
    <w:rsid w:val="00050818"/>
    <w:rsid w:val="00194237"/>
    <w:rsid w:val="001D6968"/>
    <w:rsid w:val="0022636F"/>
    <w:rsid w:val="00234BD3"/>
    <w:rsid w:val="00374F6D"/>
    <w:rsid w:val="0039180B"/>
    <w:rsid w:val="003A18F1"/>
    <w:rsid w:val="004D4B16"/>
    <w:rsid w:val="004D5054"/>
    <w:rsid w:val="004F7EE5"/>
    <w:rsid w:val="0053195B"/>
    <w:rsid w:val="006132E4"/>
    <w:rsid w:val="00700A02"/>
    <w:rsid w:val="00753442"/>
    <w:rsid w:val="00766E8E"/>
    <w:rsid w:val="008A486A"/>
    <w:rsid w:val="008B13C7"/>
    <w:rsid w:val="00995AE0"/>
    <w:rsid w:val="00997FFD"/>
    <w:rsid w:val="009B00FD"/>
    <w:rsid w:val="009E46BD"/>
    <w:rsid w:val="00A502EE"/>
    <w:rsid w:val="00B17702"/>
    <w:rsid w:val="00BA10B8"/>
    <w:rsid w:val="00C33E44"/>
    <w:rsid w:val="00CC6043"/>
    <w:rsid w:val="00CE2484"/>
    <w:rsid w:val="00D31BF5"/>
    <w:rsid w:val="00DB60A7"/>
    <w:rsid w:val="00E14C4B"/>
    <w:rsid w:val="00F22FEF"/>
    <w:rsid w:val="00F662F5"/>
    <w:rsid w:val="00F82CD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10C8"/>
  <w15:docId w15:val="{9B69C880-C063-4528-A72D-AA40847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4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4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3A18F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A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1308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Hafting</dc:creator>
  <cp:keywords/>
  <dc:description/>
  <cp:lastModifiedBy>Yngve Hafting</cp:lastModifiedBy>
  <cp:revision>24</cp:revision>
  <dcterms:created xsi:type="dcterms:W3CDTF">2017-06-20T09:06:00Z</dcterms:created>
  <dcterms:modified xsi:type="dcterms:W3CDTF">2017-06-21T09:43:00Z</dcterms:modified>
</cp:coreProperties>
</file>