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8C" w:rsidRDefault="00722887">
      <w:r>
        <w:t>Til: Utdanningskomiteen</w:t>
      </w:r>
    </w:p>
    <w:p w:rsidR="00722887" w:rsidRDefault="00722887">
      <w:r>
        <w:t>Fra: Berit Karseth, Leder av arbeidsgruppen for utdanningskvalitet (SAB-oppfølging)</w:t>
      </w:r>
    </w:p>
    <w:p w:rsidR="00C572AD" w:rsidRPr="00A811EC" w:rsidRDefault="00C572AD" w:rsidP="00C572AD">
      <w:pPr>
        <w:pStyle w:val="Overskrift1"/>
        <w:rPr>
          <w:rFonts w:ascii="Georgia" w:hAnsi="Georgia"/>
        </w:rPr>
      </w:pPr>
      <w:r w:rsidRPr="00A811EC">
        <w:rPr>
          <w:rFonts w:ascii="Georgia" w:hAnsi="Georgia"/>
        </w:rPr>
        <w:t>SAB-oppfølging utdanningskvalitet: Status fra arbeidsgruppen</w:t>
      </w:r>
    </w:p>
    <w:p w:rsidR="00C572AD" w:rsidRDefault="00C572AD" w:rsidP="00C572AD">
      <w:pPr>
        <w:autoSpaceDE w:val="0"/>
        <w:autoSpaceDN w:val="0"/>
        <w:adjustRightInd w:val="0"/>
        <w:spacing w:after="0" w:line="240" w:lineRule="auto"/>
        <w:rPr>
          <w:rFonts w:ascii="Georgia" w:hAnsi="Georgia" w:cs="BookAntiqua-Italic"/>
          <w:iCs/>
          <w:sz w:val="24"/>
          <w:szCs w:val="24"/>
        </w:rPr>
      </w:pPr>
    </w:p>
    <w:p w:rsidR="00D2074B" w:rsidRDefault="0061538C" w:rsidP="00D2074B">
      <w:p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>Arbeidsg</w:t>
      </w:r>
      <w:r w:rsidR="007205C3" w:rsidRPr="00A811EC">
        <w:rPr>
          <w:rFonts w:ascii="Georgia" w:hAnsi="Georgia" w:cs="BookAntiqua-BoldItalic"/>
          <w:bCs/>
          <w:iCs/>
        </w:rPr>
        <w:t xml:space="preserve">ruppen </w:t>
      </w:r>
      <w:r>
        <w:rPr>
          <w:rFonts w:ascii="Georgia" w:hAnsi="Georgia" w:cs="BookAntiqua-BoldItalic"/>
          <w:bCs/>
          <w:iCs/>
        </w:rPr>
        <w:t xml:space="preserve">for utdanningskvalitet </w:t>
      </w:r>
      <w:r w:rsidR="007205C3" w:rsidRPr="00A811EC">
        <w:rPr>
          <w:rFonts w:ascii="Georgia" w:hAnsi="Georgia" w:cs="BookAntiqua-BoldItalic"/>
          <w:bCs/>
          <w:iCs/>
        </w:rPr>
        <w:t>ha</w:t>
      </w:r>
      <w:r w:rsidR="00D2074B" w:rsidRPr="00A811EC">
        <w:rPr>
          <w:rFonts w:ascii="Georgia" w:hAnsi="Georgia" w:cs="BookAntiqua-BoldItalic"/>
          <w:bCs/>
          <w:iCs/>
        </w:rPr>
        <w:t xml:space="preserve">r </w:t>
      </w:r>
      <w:r>
        <w:rPr>
          <w:rFonts w:ascii="Georgia" w:hAnsi="Georgia" w:cs="BookAntiqua-BoldItalic"/>
          <w:bCs/>
          <w:iCs/>
        </w:rPr>
        <w:t xml:space="preserve">til nå </w:t>
      </w:r>
      <w:r w:rsidR="00D2074B" w:rsidRPr="00A811EC">
        <w:rPr>
          <w:rFonts w:ascii="Georgia" w:hAnsi="Georgia" w:cs="BookAntiqua-BoldItalic"/>
          <w:bCs/>
          <w:iCs/>
        </w:rPr>
        <w:t xml:space="preserve">hatt to møter og har så langt konsentrert seg om fase 1 </w:t>
      </w:r>
      <w:r w:rsidR="00D2074B" w:rsidRPr="00A811EC">
        <w:rPr>
          <w:rFonts w:ascii="Georgia" w:hAnsi="Georgia" w:cs="BookAntiqua-BoldItalic"/>
          <w:b/>
          <w:bCs/>
          <w:iCs/>
        </w:rPr>
        <w:t>Avklare og prioritere oppgaver som bør inngå i SAB-</w:t>
      </w:r>
      <w:r w:rsidR="00D2074B" w:rsidRPr="0061538C">
        <w:rPr>
          <w:rFonts w:ascii="Georgia" w:hAnsi="Georgia" w:cs="BookAntiqua-BoldItalic"/>
          <w:bCs/>
          <w:iCs/>
        </w:rPr>
        <w:t>porteføljen</w:t>
      </w:r>
      <w:r w:rsidRPr="0061538C">
        <w:rPr>
          <w:rFonts w:ascii="Georgia" w:hAnsi="Georgia" w:cs="BookAntiqua-BoldItalic"/>
          <w:bCs/>
          <w:iCs/>
        </w:rPr>
        <w:t xml:space="preserve"> (se Vedlegg1: mandat)</w:t>
      </w:r>
    </w:p>
    <w:p w:rsidR="0061538C" w:rsidRDefault="0061538C" w:rsidP="00D2074B">
      <w:pPr>
        <w:spacing w:after="0"/>
        <w:rPr>
          <w:rFonts w:ascii="Georgia" w:hAnsi="Georgia" w:cs="BookAntiqua-BoldItalic"/>
          <w:bCs/>
          <w:iCs/>
        </w:rPr>
      </w:pPr>
    </w:p>
    <w:p w:rsidR="0061538C" w:rsidRPr="0061538C" w:rsidRDefault="004F2EE4" w:rsidP="00D2074B">
      <w:p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>G</w:t>
      </w:r>
      <w:r w:rsidR="0061538C">
        <w:rPr>
          <w:rFonts w:ascii="Georgia" w:hAnsi="Georgia" w:cs="BookAntiqua-BoldItalic"/>
          <w:bCs/>
          <w:iCs/>
        </w:rPr>
        <w:t xml:space="preserve">ruppen </w:t>
      </w:r>
      <w:r>
        <w:rPr>
          <w:rFonts w:ascii="Georgia" w:hAnsi="Georgia" w:cs="BookAntiqua-BoldItalic"/>
          <w:bCs/>
          <w:iCs/>
        </w:rPr>
        <w:t xml:space="preserve">startet sitt arbeid med </w:t>
      </w:r>
      <w:r w:rsidR="0061538C">
        <w:rPr>
          <w:rFonts w:ascii="Georgia" w:hAnsi="Georgia" w:cs="BookAntiqua-BoldItalic"/>
          <w:bCs/>
          <w:iCs/>
        </w:rPr>
        <w:t xml:space="preserve">en åpen diskusjon om </w:t>
      </w:r>
      <w:proofErr w:type="spellStart"/>
      <w:r w:rsidR="0061538C">
        <w:rPr>
          <w:rFonts w:ascii="Georgia" w:hAnsi="Georgia" w:cs="BookAntiqua-BoldItalic"/>
          <w:bCs/>
          <w:iCs/>
        </w:rPr>
        <w:t>SABs</w:t>
      </w:r>
      <w:proofErr w:type="spellEnd"/>
      <w:r w:rsidR="0061538C">
        <w:rPr>
          <w:rFonts w:ascii="Georgia" w:hAnsi="Georgia" w:cs="BookAntiqua-BoldItalic"/>
          <w:bCs/>
          <w:iCs/>
        </w:rPr>
        <w:t xml:space="preserve"> analyser og anbefalinger når det gjelder utdanningsfeltet. Arbeidsgruppen sluttet seg til hovedtrekkene i </w:t>
      </w:r>
      <w:proofErr w:type="spellStart"/>
      <w:r w:rsidR="0061538C">
        <w:rPr>
          <w:rFonts w:ascii="Georgia" w:hAnsi="Georgia" w:cs="BookAntiqua-BoldItalic"/>
          <w:bCs/>
          <w:iCs/>
        </w:rPr>
        <w:t>SABs</w:t>
      </w:r>
      <w:proofErr w:type="spellEnd"/>
      <w:r w:rsidR="0061538C">
        <w:rPr>
          <w:rFonts w:ascii="Georgia" w:hAnsi="Georgia" w:cs="BookAntiqua-BoldItalic"/>
          <w:bCs/>
          <w:iCs/>
        </w:rPr>
        <w:t xml:space="preserve"> analyse om at det er behov for økt oppmerksomhet </w:t>
      </w:r>
      <w:r>
        <w:rPr>
          <w:rFonts w:ascii="Georgia" w:hAnsi="Georgia" w:cs="BookAntiqua-BoldItalic"/>
          <w:bCs/>
          <w:iCs/>
        </w:rPr>
        <w:t>på</w:t>
      </w:r>
      <w:r w:rsidR="0061538C">
        <w:rPr>
          <w:rFonts w:ascii="Georgia" w:hAnsi="Georgia" w:cs="BookAntiqua-BoldItalic"/>
          <w:bCs/>
          <w:iCs/>
        </w:rPr>
        <w:t xml:space="preserve"> frafall fra studi</w:t>
      </w:r>
      <w:r>
        <w:rPr>
          <w:rFonts w:ascii="Georgia" w:hAnsi="Georgia" w:cs="BookAntiqua-BoldItalic"/>
          <w:bCs/>
          <w:iCs/>
        </w:rPr>
        <w:t>eprogrammene og faglig fornyelse og pedagogisk kvalitet</w:t>
      </w:r>
      <w:r w:rsidR="00A32EE1">
        <w:rPr>
          <w:rFonts w:ascii="Georgia" w:hAnsi="Georgia" w:cs="BookAntiqua-BoldItalic"/>
          <w:bCs/>
          <w:iCs/>
        </w:rPr>
        <w:t xml:space="preserve">, men oppfatter en del av </w:t>
      </w:r>
      <w:proofErr w:type="spellStart"/>
      <w:r w:rsidR="00A32EE1">
        <w:rPr>
          <w:rFonts w:ascii="Georgia" w:hAnsi="Georgia" w:cs="BookAntiqua-BoldItalic"/>
          <w:bCs/>
          <w:iCs/>
        </w:rPr>
        <w:t>SABs</w:t>
      </w:r>
      <w:proofErr w:type="spellEnd"/>
      <w:r w:rsidR="00A32EE1">
        <w:rPr>
          <w:rFonts w:ascii="Georgia" w:hAnsi="Georgia" w:cs="BookAntiqua-BoldItalic"/>
          <w:bCs/>
          <w:iCs/>
        </w:rPr>
        <w:t xml:space="preserve"> enkeltanbefalinger som lite relevante for UiO</w:t>
      </w:r>
      <w:r>
        <w:rPr>
          <w:rFonts w:ascii="Georgia" w:hAnsi="Georgia" w:cs="BookAntiqua-BoldItalic"/>
          <w:bCs/>
          <w:iCs/>
        </w:rPr>
        <w:t xml:space="preserve">. Gruppen har </w:t>
      </w:r>
      <w:r w:rsidR="00A32EE1">
        <w:rPr>
          <w:rFonts w:ascii="Georgia" w:hAnsi="Georgia" w:cs="BookAntiqua-BoldItalic"/>
          <w:bCs/>
          <w:iCs/>
        </w:rPr>
        <w:t xml:space="preserve">blant annet </w:t>
      </w:r>
      <w:r>
        <w:rPr>
          <w:rFonts w:ascii="Georgia" w:hAnsi="Georgia" w:cs="BookAntiqua-BoldItalic"/>
          <w:bCs/>
          <w:iCs/>
        </w:rPr>
        <w:t xml:space="preserve">problematisert den tilsynelatende spenningen mellom </w:t>
      </w:r>
      <w:proofErr w:type="spellStart"/>
      <w:r>
        <w:rPr>
          <w:rFonts w:ascii="Georgia" w:hAnsi="Georgia" w:cs="BookAntiqua-BoldItalic"/>
          <w:bCs/>
          <w:iCs/>
        </w:rPr>
        <w:t>SABs</w:t>
      </w:r>
      <w:proofErr w:type="spellEnd"/>
      <w:r>
        <w:rPr>
          <w:rFonts w:ascii="Georgia" w:hAnsi="Georgia" w:cs="BookAntiqua-BoldItalic"/>
          <w:bCs/>
          <w:iCs/>
        </w:rPr>
        <w:t xml:space="preserve"> tro på konkurranse som kvalitetsfremmende og den norske (</w:t>
      </w:r>
      <w:r w:rsidR="00A32EE1">
        <w:rPr>
          <w:rFonts w:ascii="Georgia" w:hAnsi="Georgia" w:cs="BookAntiqua-BoldItalic"/>
          <w:bCs/>
          <w:iCs/>
        </w:rPr>
        <w:t>og nordiske) kulturen der likhet er en mer attraktiv verdi</w:t>
      </w:r>
      <w:r w:rsidR="007D7034">
        <w:rPr>
          <w:rFonts w:ascii="Georgia" w:hAnsi="Georgia" w:cs="BookAntiqua-BoldItalic"/>
          <w:bCs/>
          <w:iCs/>
        </w:rPr>
        <w:t xml:space="preserve"> og masseutdanning et samfunnskrav</w:t>
      </w:r>
      <w:r w:rsidR="00A32EE1">
        <w:rPr>
          <w:rFonts w:ascii="Georgia" w:hAnsi="Georgia" w:cs="BookAntiqua-BoldItalic"/>
          <w:bCs/>
          <w:iCs/>
        </w:rPr>
        <w:t>. Gapanalysen er ikke ferdigstilt.</w:t>
      </w: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</w:p>
    <w:p w:rsidR="00A32EE1" w:rsidRDefault="00A32EE1" w:rsidP="007205C3">
      <w:p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 xml:space="preserve">Arbeidsgruppen opplever at UiO ikke har tydelige og klare nok mål for arbeidet med utdanningskvalitet og at det er et klart behov for å se mer helhetlig og langsiktig på dette arbeidet. Dette må imidlertid gjøres på en måte som både ivaretar faglige forskjeller og får ting til å henge mer sammen </w:t>
      </w:r>
      <w:r w:rsidR="002441A2">
        <w:rPr>
          <w:rFonts w:ascii="Georgia" w:hAnsi="Georgia" w:cs="BookAntiqua-BoldItalic"/>
          <w:bCs/>
          <w:iCs/>
        </w:rPr>
        <w:t xml:space="preserve">innenfor og </w:t>
      </w:r>
      <w:r>
        <w:rPr>
          <w:rFonts w:ascii="Georgia" w:hAnsi="Georgia" w:cs="BookAntiqua-BoldItalic"/>
          <w:bCs/>
          <w:iCs/>
        </w:rPr>
        <w:t xml:space="preserve">på tvers av </w:t>
      </w:r>
      <w:r w:rsidR="002441A2">
        <w:rPr>
          <w:rFonts w:ascii="Georgia" w:hAnsi="Georgia" w:cs="BookAntiqua-BoldItalic"/>
          <w:bCs/>
          <w:iCs/>
        </w:rPr>
        <w:t>ulike nivåer i UiO-</w:t>
      </w:r>
      <w:r>
        <w:rPr>
          <w:rFonts w:ascii="Georgia" w:hAnsi="Georgia" w:cs="BookAntiqua-BoldItalic"/>
          <w:bCs/>
          <w:iCs/>
        </w:rPr>
        <w:t xml:space="preserve">organisasjonen. </w:t>
      </w:r>
    </w:p>
    <w:p w:rsidR="002441A2" w:rsidRDefault="002441A2" w:rsidP="007205C3">
      <w:pPr>
        <w:spacing w:after="0"/>
        <w:rPr>
          <w:rFonts w:ascii="Georgia" w:hAnsi="Georgia" w:cs="BookAntiqua-BoldItalic"/>
          <w:bCs/>
          <w:iCs/>
        </w:rPr>
      </w:pPr>
    </w:p>
    <w:p w:rsidR="00D2074B" w:rsidRPr="00A811EC" w:rsidRDefault="00D2074B" w:rsidP="007205C3">
      <w:p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 xml:space="preserve">Listen </w:t>
      </w:r>
      <w:r w:rsidR="002441A2">
        <w:rPr>
          <w:rFonts w:ascii="Georgia" w:hAnsi="Georgia" w:cs="BookAntiqua-BoldItalic"/>
          <w:bCs/>
          <w:iCs/>
        </w:rPr>
        <w:t>under</w:t>
      </w:r>
      <w:r w:rsidRPr="00A811EC">
        <w:rPr>
          <w:rFonts w:ascii="Georgia" w:hAnsi="Georgia" w:cs="BookAntiqua-BoldItalic"/>
          <w:bCs/>
          <w:iCs/>
        </w:rPr>
        <w:t xml:space="preserve"> er </w:t>
      </w:r>
      <w:r w:rsidR="000C470D">
        <w:rPr>
          <w:rFonts w:ascii="Georgia" w:hAnsi="Georgia" w:cs="BookAntiqua-BoldItalic"/>
          <w:bCs/>
          <w:iCs/>
        </w:rPr>
        <w:t xml:space="preserve">satt sammen av arbeidsgruppens leder og er </w:t>
      </w:r>
      <w:r w:rsidRPr="00A811EC">
        <w:rPr>
          <w:rFonts w:ascii="Georgia" w:hAnsi="Georgia" w:cs="BookAntiqua-BoldItalic"/>
          <w:bCs/>
          <w:iCs/>
        </w:rPr>
        <w:t xml:space="preserve">basert på en </w:t>
      </w:r>
      <w:r w:rsidR="002441A2">
        <w:rPr>
          <w:rFonts w:ascii="Georgia" w:hAnsi="Georgia" w:cs="BookAntiqua-BoldItalic"/>
          <w:bCs/>
          <w:iCs/>
        </w:rPr>
        <w:t xml:space="preserve">aller </w:t>
      </w:r>
      <w:r w:rsidRPr="00A811EC">
        <w:rPr>
          <w:rFonts w:ascii="Georgia" w:hAnsi="Georgia" w:cs="BookAntiqua-BoldItalic"/>
          <w:bCs/>
          <w:iCs/>
        </w:rPr>
        <w:t xml:space="preserve">første gjennomgang av hva gruppens medlemmer har løftet fram som </w:t>
      </w:r>
      <w:r w:rsidR="002441A2">
        <w:rPr>
          <w:rFonts w:ascii="Georgia" w:hAnsi="Georgia" w:cs="BookAntiqua-BoldItalic"/>
          <w:bCs/>
          <w:iCs/>
        </w:rPr>
        <w:t xml:space="preserve">mulige </w:t>
      </w:r>
      <w:r w:rsidRPr="00A811EC">
        <w:rPr>
          <w:rFonts w:ascii="Georgia" w:hAnsi="Georgia" w:cs="BookAntiqua-BoldItalic"/>
          <w:bCs/>
          <w:iCs/>
        </w:rPr>
        <w:t>prioriteringer</w:t>
      </w:r>
      <w:r w:rsidR="002441A2">
        <w:rPr>
          <w:rFonts w:ascii="Georgia" w:hAnsi="Georgia" w:cs="BookAntiqua-BoldItalic"/>
          <w:bCs/>
          <w:iCs/>
        </w:rPr>
        <w:t xml:space="preserve"> av oppgaver/tiltak som bør inngå i SAB-porteføljen:</w:t>
      </w:r>
      <w:r w:rsidRPr="00A811EC">
        <w:rPr>
          <w:rFonts w:ascii="Georgia" w:hAnsi="Georgia" w:cs="BookAntiqua-BoldItalic"/>
          <w:bCs/>
          <w:iCs/>
        </w:rPr>
        <w:t xml:space="preserve"> </w:t>
      </w:r>
    </w:p>
    <w:p w:rsidR="00D2074B" w:rsidRPr="00A811EC" w:rsidRDefault="00D2074B" w:rsidP="007205C3">
      <w:pPr>
        <w:spacing w:after="0"/>
        <w:rPr>
          <w:rFonts w:ascii="Georgia" w:hAnsi="Georgia" w:cs="BookAntiqua-BoldItalic"/>
          <w:bCs/>
          <w:iCs/>
        </w:rPr>
      </w:pPr>
    </w:p>
    <w:p w:rsidR="00A811EC" w:rsidRPr="00A811EC" w:rsidRDefault="00A811EC" w:rsidP="00A811EC">
      <w:pPr>
        <w:pStyle w:val="Listeavsnitt"/>
        <w:numPr>
          <w:ilvl w:val="0"/>
          <w:numId w:val="2"/>
        </w:numPr>
        <w:spacing w:after="0"/>
        <w:rPr>
          <w:rFonts w:ascii="Georgia" w:hAnsi="Georgia" w:cs="BookAntiqua-BoldItalic"/>
          <w:bCs/>
          <w:iCs/>
        </w:rPr>
      </w:pP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Overordnet</w:t>
      </w:r>
      <w:proofErr w:type="spellEnd"/>
      <w:r w:rsidRPr="00A811EC"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utdanningsvisjon</w:t>
      </w:r>
      <w:proofErr w:type="spellEnd"/>
    </w:p>
    <w:p w:rsidR="00A811EC" w:rsidRDefault="00A811EC" w:rsidP="00A811EC">
      <w:pPr>
        <w:pStyle w:val="Listeavsnitt"/>
        <w:numPr>
          <w:ilvl w:val="0"/>
          <w:numId w:val="5"/>
        </w:numPr>
        <w:rPr>
          <w:rFonts w:ascii="Georgia" w:hAnsi="Georgia"/>
        </w:rPr>
      </w:pPr>
      <w:r w:rsidRPr="00A811EC">
        <w:rPr>
          <w:rFonts w:ascii="Georgia" w:hAnsi="Georgia"/>
        </w:rPr>
        <w:t>Utnytte de fordelene vi har som bredde- forsknings- hovedstads-, internasjonalt orientert universitet</w:t>
      </w:r>
    </w:p>
    <w:p w:rsidR="00C94CBD" w:rsidRDefault="00C94CBD" w:rsidP="00A811EC">
      <w:pPr>
        <w:pStyle w:val="Listeavsnitt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Helhet og sammenheng</w:t>
      </w:r>
    </w:p>
    <w:p w:rsidR="00317D8D" w:rsidRPr="00317D8D" w:rsidRDefault="00A811EC" w:rsidP="00317D8D">
      <w:pPr>
        <w:pStyle w:val="Listeavsnitt"/>
        <w:numPr>
          <w:ilvl w:val="0"/>
          <w:numId w:val="5"/>
        </w:numPr>
        <w:spacing w:after="0"/>
        <w:ind w:left="1429"/>
        <w:rPr>
          <w:rFonts w:ascii="Georgia" w:hAnsi="Georgia"/>
        </w:rPr>
      </w:pP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Merittering</w:t>
      </w:r>
      <w:proofErr w:type="spellEnd"/>
      <w:r w:rsidRPr="00A811EC">
        <w:rPr>
          <w:rFonts w:ascii="Georgia" w:hAnsi="Georgia" w:cs="BookAntiqua-BoldItalic"/>
          <w:bCs/>
          <w:iCs/>
          <w:lang w:val="en-US"/>
        </w:rPr>
        <w:t>/</w:t>
      </w: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Mestring</w:t>
      </w:r>
      <w:proofErr w:type="spellEnd"/>
      <w:r w:rsidRPr="00A811EC">
        <w:rPr>
          <w:rFonts w:ascii="Georgia" w:hAnsi="Georgia" w:cs="BookAntiqua-BoldItalic"/>
          <w:bCs/>
          <w:iCs/>
          <w:lang w:val="en-US"/>
        </w:rPr>
        <w:t>/</w:t>
      </w: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Ledelse</w:t>
      </w:r>
      <w:proofErr w:type="spellEnd"/>
      <w:r w:rsidRPr="00A811EC">
        <w:rPr>
          <w:rFonts w:ascii="Georgia" w:hAnsi="Georgia" w:cs="BookAntiqua-BoldItalic"/>
          <w:bCs/>
          <w:iCs/>
          <w:lang w:val="en-US"/>
        </w:rPr>
        <w:t>/</w:t>
      </w: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styring</w:t>
      </w:r>
      <w:proofErr w:type="spellEnd"/>
    </w:p>
    <w:p w:rsidR="00317D8D" w:rsidRPr="002441A2" w:rsidRDefault="00317D8D" w:rsidP="00317D8D">
      <w:pPr>
        <w:numPr>
          <w:ilvl w:val="0"/>
          <w:numId w:val="5"/>
        </w:numPr>
        <w:spacing w:after="0"/>
        <w:ind w:left="1429"/>
        <w:rPr>
          <w:rFonts w:ascii="Georgia" w:hAnsi="Georgia" w:cs="BookAntiqua-BoldItalic"/>
          <w:bCs/>
          <w:iCs/>
        </w:rPr>
      </w:pP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Pedagogisk</w:t>
      </w:r>
      <w:proofErr w:type="spellEnd"/>
      <w:r w:rsidRPr="00A811EC"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kvalifisert</w:t>
      </w:r>
      <w:proofErr w:type="spellEnd"/>
      <w:r w:rsidRPr="00A811EC"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personale</w:t>
      </w:r>
      <w:proofErr w:type="spellEnd"/>
      <w:r w:rsidRPr="00A811EC"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som</w:t>
      </w:r>
      <w:proofErr w:type="spellEnd"/>
      <w:r w:rsidRPr="00A811EC"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 w:rsidRPr="00A811EC">
        <w:rPr>
          <w:rFonts w:ascii="Georgia" w:hAnsi="Georgia" w:cs="BookAntiqua-BoldItalic"/>
          <w:bCs/>
          <w:iCs/>
          <w:lang w:val="en-US"/>
        </w:rPr>
        <w:t>underviser</w:t>
      </w:r>
      <w:proofErr w:type="spellEnd"/>
    </w:p>
    <w:p w:rsidR="002441A2" w:rsidRDefault="002441A2" w:rsidP="002441A2">
      <w:pPr>
        <w:spacing w:after="0"/>
        <w:ind w:left="708"/>
        <w:rPr>
          <w:rFonts w:ascii="Georgia" w:hAnsi="Georgia" w:cs="BookAntiqua-BoldItalic"/>
          <w:bCs/>
          <w:iCs/>
        </w:rPr>
      </w:pPr>
    </w:p>
    <w:p w:rsidR="002441A2" w:rsidRDefault="002441A2" w:rsidP="002441A2">
      <w:pPr>
        <w:spacing w:after="0"/>
        <w:ind w:left="36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>En overordnet utdanningsvisjon for UiO kan ta utgangspunkt i hva man får ekstra ved å studere ved UiO fremfor andre steder – hva er det unike hos oss? Har vi en for gammeldags oppfatning av hva forskningsbasert undervisning er? Kan vi fokusere på å lære studenten å jobbe forskningsmessig (være kreative, nysgjerrige, eksperimentere)?</w:t>
      </w:r>
    </w:p>
    <w:p w:rsidR="00EB7900" w:rsidRDefault="007D7034" w:rsidP="002441A2">
      <w:pPr>
        <w:spacing w:after="0"/>
        <w:ind w:left="36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br/>
      </w:r>
      <w:r w:rsidR="00EB7900">
        <w:rPr>
          <w:rFonts w:ascii="Georgia" w:hAnsi="Georgia" w:cs="BookAntiqua-BoldItalic"/>
          <w:bCs/>
          <w:iCs/>
        </w:rPr>
        <w:t xml:space="preserve">Ofte er det </w:t>
      </w:r>
      <w:r>
        <w:rPr>
          <w:rFonts w:ascii="Georgia" w:hAnsi="Georgia" w:cs="BookAntiqua-BoldItalic"/>
          <w:bCs/>
          <w:iCs/>
        </w:rPr>
        <w:t xml:space="preserve">mer </w:t>
      </w:r>
      <w:r w:rsidR="00EB7900">
        <w:rPr>
          <w:rFonts w:ascii="Georgia" w:hAnsi="Georgia" w:cs="BookAntiqua-BoldItalic"/>
          <w:bCs/>
          <w:iCs/>
        </w:rPr>
        <w:t xml:space="preserve">holdninger og symbolske skiller som nedgraderer undervisning </w:t>
      </w:r>
      <w:proofErr w:type="spellStart"/>
      <w:r w:rsidR="00EB7900">
        <w:rPr>
          <w:rFonts w:ascii="Georgia" w:hAnsi="Georgia" w:cs="BookAntiqua-BoldItalic"/>
          <w:bCs/>
          <w:iCs/>
        </w:rPr>
        <w:t>ift</w:t>
      </w:r>
      <w:proofErr w:type="spellEnd"/>
      <w:r w:rsidR="00EB7900">
        <w:rPr>
          <w:rFonts w:ascii="Georgia" w:hAnsi="Georgia" w:cs="BookAntiqua-BoldItalic"/>
          <w:bCs/>
          <w:iCs/>
        </w:rPr>
        <w:t xml:space="preserve"> forskning mer enn regler og rammebetingelser</w:t>
      </w:r>
      <w:r>
        <w:rPr>
          <w:rFonts w:ascii="Georgia" w:hAnsi="Georgia" w:cs="BookAntiqua-BoldItalic"/>
          <w:bCs/>
          <w:iCs/>
        </w:rPr>
        <w:t xml:space="preserve"> – dette bør det tas tak i</w:t>
      </w:r>
      <w:r w:rsidR="00EB7900">
        <w:rPr>
          <w:rFonts w:ascii="Georgia" w:hAnsi="Georgia" w:cs="BookAntiqua-BoldItalic"/>
          <w:bCs/>
          <w:iCs/>
        </w:rPr>
        <w:t>.</w:t>
      </w:r>
      <w:r>
        <w:rPr>
          <w:rFonts w:ascii="Georgia" w:hAnsi="Georgia" w:cs="BookAntiqua-BoldItalic"/>
          <w:bCs/>
          <w:iCs/>
        </w:rPr>
        <w:t xml:space="preserve"> Utdanningsfeltet trenger et løft - ikke minst når det gjelder strategisk oppmerksomhet.</w:t>
      </w:r>
    </w:p>
    <w:p w:rsidR="00817944" w:rsidRDefault="00817944" w:rsidP="002441A2">
      <w:pPr>
        <w:spacing w:after="0"/>
        <w:ind w:left="360"/>
        <w:rPr>
          <w:rFonts w:ascii="Georgia" w:hAnsi="Georgia" w:cs="BookAntiqua-BoldItalic"/>
          <w:bCs/>
          <w:iCs/>
        </w:rPr>
      </w:pPr>
    </w:p>
    <w:p w:rsidR="00817944" w:rsidRPr="00A811EC" w:rsidRDefault="00817944" w:rsidP="002441A2">
      <w:pPr>
        <w:spacing w:after="0"/>
        <w:ind w:left="36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 xml:space="preserve">Strategisk plan er et viktig dokument som gir retning for hvordan en visjon skal skrives opp, men det kan være et behov for å skrive opp en visjon </w:t>
      </w:r>
      <w:r w:rsidR="00C9510E">
        <w:rPr>
          <w:rFonts w:ascii="Georgia" w:hAnsi="Georgia" w:cs="BookAntiqua-BoldItalic"/>
          <w:bCs/>
          <w:iCs/>
        </w:rPr>
        <w:t xml:space="preserve">om fremragende undervisning og utdanning </w:t>
      </w:r>
      <w:r>
        <w:rPr>
          <w:rFonts w:ascii="Georgia" w:hAnsi="Georgia" w:cs="BookAntiqua-BoldItalic"/>
          <w:bCs/>
          <w:iCs/>
        </w:rPr>
        <w:t>som ikke følger inndelingen til de fem universitetene</w:t>
      </w:r>
      <w:r w:rsidR="00C9510E">
        <w:rPr>
          <w:rFonts w:ascii="Georgia" w:hAnsi="Georgia" w:cs="BookAntiqua-BoldItalic"/>
          <w:bCs/>
          <w:iCs/>
        </w:rPr>
        <w:t xml:space="preserve">. </w:t>
      </w:r>
    </w:p>
    <w:p w:rsidR="00317D8D" w:rsidRPr="00317D8D" w:rsidRDefault="00317D8D" w:rsidP="00317D8D">
      <w:pPr>
        <w:pStyle w:val="Listeavsnitt"/>
        <w:spacing w:after="0"/>
        <w:ind w:left="1429"/>
        <w:rPr>
          <w:rFonts w:ascii="Georgia" w:hAnsi="Georgia"/>
        </w:rPr>
      </w:pPr>
    </w:p>
    <w:p w:rsidR="00317D8D" w:rsidRPr="00317D8D" w:rsidRDefault="00317D8D" w:rsidP="00317D8D">
      <w:pPr>
        <w:pStyle w:val="Listeavsnitt"/>
        <w:spacing w:after="0"/>
        <w:ind w:left="1429"/>
        <w:rPr>
          <w:rFonts w:ascii="Georgia" w:hAnsi="Georgia"/>
        </w:rPr>
      </w:pPr>
    </w:p>
    <w:p w:rsidR="00317D8D" w:rsidRPr="00317D8D" w:rsidRDefault="00317D8D" w:rsidP="00317D8D">
      <w:pPr>
        <w:numPr>
          <w:ilvl w:val="0"/>
          <w:numId w:val="3"/>
        </w:numPr>
        <w:spacing w:after="0"/>
        <w:ind w:left="360"/>
        <w:rPr>
          <w:rFonts w:ascii="Georgia" w:hAnsi="Georgia" w:cs="BookAntiqua-BoldItalic"/>
          <w:bCs/>
          <w:iCs/>
        </w:rPr>
      </w:pPr>
      <w:r w:rsidRPr="00317D8D">
        <w:rPr>
          <w:rFonts w:ascii="Georgia" w:hAnsi="Georgia"/>
          <w:bCs/>
          <w:iCs/>
        </w:rPr>
        <w:lastRenderedPageBreak/>
        <w:t>Tiltak for å få til en god og nødvendig koordinering av arbeidet med utdanningskvalitet</w:t>
      </w:r>
    </w:p>
    <w:p w:rsidR="00317D8D" w:rsidRPr="00317D8D" w:rsidRDefault="00317D8D" w:rsidP="00317D8D">
      <w:pPr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/>
          <w:bCs/>
          <w:iCs/>
        </w:rPr>
        <w:t>Hvilke oppgaver kan sentraliseres</w:t>
      </w:r>
    </w:p>
    <w:p w:rsidR="00317D8D" w:rsidRPr="000828E9" w:rsidRDefault="00317D8D" w:rsidP="00317D8D">
      <w:pPr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/>
          <w:bCs/>
          <w:iCs/>
        </w:rPr>
        <w:t>Hvilke oppgaver bør koordineres lokalt</w:t>
      </w:r>
    </w:p>
    <w:p w:rsidR="000828E9" w:rsidRPr="000828E9" w:rsidRDefault="000828E9" w:rsidP="00317D8D">
      <w:pPr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>Valg av teknologiske løsninger i en mangfoldig organisasjon</w:t>
      </w:r>
    </w:p>
    <w:p w:rsidR="00317D8D" w:rsidRPr="00317D8D" w:rsidRDefault="00317D8D" w:rsidP="00317D8D">
      <w:pPr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/>
          <w:bCs/>
          <w:iCs/>
        </w:rPr>
        <w:t xml:space="preserve">Utnytte UiO ansattes bidrag til fremragende undervisning – </w:t>
      </w:r>
      <w:proofErr w:type="spellStart"/>
      <w:r>
        <w:rPr>
          <w:rFonts w:ascii="Georgia" w:hAnsi="Georgia"/>
          <w:bCs/>
          <w:iCs/>
        </w:rPr>
        <w:t>Teaching</w:t>
      </w:r>
      <w:proofErr w:type="spellEnd"/>
      <w:r>
        <w:rPr>
          <w:rFonts w:ascii="Georgia" w:hAnsi="Georgia"/>
          <w:bCs/>
          <w:iCs/>
        </w:rPr>
        <w:t xml:space="preserve"> </w:t>
      </w:r>
      <w:proofErr w:type="spellStart"/>
      <w:r>
        <w:rPr>
          <w:rFonts w:ascii="Georgia" w:hAnsi="Georgia"/>
          <w:bCs/>
          <w:iCs/>
        </w:rPr>
        <w:t>Academy</w:t>
      </w:r>
      <w:proofErr w:type="spellEnd"/>
    </w:p>
    <w:p w:rsidR="00817944" w:rsidRDefault="00817944" w:rsidP="00317D8D">
      <w:pPr>
        <w:spacing w:after="0"/>
        <w:ind w:left="360"/>
        <w:rPr>
          <w:rFonts w:ascii="Georgia" w:hAnsi="Georgia" w:cs="BookAntiqua-BoldItalic"/>
          <w:bCs/>
          <w:iCs/>
        </w:rPr>
      </w:pPr>
    </w:p>
    <w:p w:rsidR="00317D8D" w:rsidRDefault="002441A2" w:rsidP="00317D8D">
      <w:pPr>
        <w:spacing w:after="0"/>
        <w:ind w:left="36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>Utdanningsfeltet er godt administrert, men vitenskapelige ansatte er i mange tilfeller ikke godt nok koblet på – vi mangler ofte et operativt faglig ledd som kan tenke helhetlig om utdanning sammen med ledelse og studieadministrasjon</w:t>
      </w:r>
      <w:r w:rsidR="007D7034">
        <w:rPr>
          <w:rFonts w:ascii="Georgia" w:hAnsi="Georgia" w:cs="BookAntiqua-BoldItalic"/>
          <w:bCs/>
          <w:iCs/>
        </w:rPr>
        <w:t xml:space="preserve"> (IHR er i all hovedsak en administrativ prosess)</w:t>
      </w:r>
      <w:r>
        <w:rPr>
          <w:rFonts w:ascii="Georgia" w:hAnsi="Georgia" w:cs="BookAntiqua-BoldItalic"/>
          <w:bCs/>
          <w:iCs/>
        </w:rPr>
        <w:t xml:space="preserve">. </w:t>
      </w:r>
      <w:r w:rsidR="00817944">
        <w:rPr>
          <w:rFonts w:ascii="Georgia" w:hAnsi="Georgia" w:cs="BookAntiqua-BoldItalic"/>
          <w:bCs/>
          <w:iCs/>
        </w:rPr>
        <w:t xml:space="preserve"> </w:t>
      </w:r>
      <w:r w:rsidR="00C9510E">
        <w:rPr>
          <w:rFonts w:ascii="Georgia" w:hAnsi="Georgia" w:cs="BookAntiqua-BoldItalic"/>
          <w:bCs/>
          <w:iCs/>
        </w:rPr>
        <w:t>Å finne en god balanse mellom på den ene siden å standardisere undervisnings- og utdanningsvirksomheten og å på den andre siden velge mer fleksible løsninger som er tilpasset et fagområde og de utviklingsprosesser en ser som nødvendige, er utfordrende, men viktig.</w:t>
      </w:r>
    </w:p>
    <w:p w:rsidR="00EB7900" w:rsidRDefault="00EB7900" w:rsidP="00317D8D">
      <w:pPr>
        <w:spacing w:after="0"/>
        <w:ind w:left="360"/>
        <w:rPr>
          <w:rFonts w:ascii="Georgia" w:hAnsi="Georgia" w:cs="BookAntiqua-BoldItalic"/>
          <w:bCs/>
          <w:iCs/>
        </w:rPr>
      </w:pPr>
    </w:p>
    <w:p w:rsidR="00317D8D" w:rsidRPr="00A811EC" w:rsidRDefault="00317D8D" w:rsidP="00317D8D">
      <w:pPr>
        <w:numPr>
          <w:ilvl w:val="0"/>
          <w:numId w:val="3"/>
        </w:numPr>
        <w:spacing w:after="0"/>
        <w:ind w:left="36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 xml:space="preserve">Tiltak </w:t>
      </w:r>
      <w:r w:rsidRPr="00A811EC">
        <w:rPr>
          <w:rFonts w:ascii="Georgia" w:hAnsi="Georgia" w:cs="BookAntiqua-BoldItalic"/>
          <w:bCs/>
          <w:iCs/>
        </w:rPr>
        <w:t xml:space="preserve">for </w:t>
      </w:r>
      <w:proofErr w:type="gramStart"/>
      <w:r w:rsidRPr="00A811EC">
        <w:rPr>
          <w:rFonts w:ascii="Georgia" w:hAnsi="Georgia" w:cs="BookAntiqua-BoldItalic"/>
          <w:bCs/>
          <w:iCs/>
        </w:rPr>
        <w:t>heve</w:t>
      </w:r>
      <w:proofErr w:type="gramEnd"/>
      <w:r w:rsidRPr="00A811EC">
        <w:rPr>
          <w:rFonts w:ascii="Georgia" w:hAnsi="Georgia" w:cs="BookAntiqua-BoldItalic"/>
          <w:bCs/>
          <w:iCs/>
        </w:rPr>
        <w:t xml:space="preserve"> kvaliteten på programrådenes arbeid, herunder  programledelse og tverrfaglighet</w:t>
      </w:r>
    </w:p>
    <w:p w:rsidR="00317D8D" w:rsidRPr="00A811EC" w:rsidRDefault="00317D8D" w:rsidP="00317D8D">
      <w:pPr>
        <w:pStyle w:val="Listeavsnitt"/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 xml:space="preserve">Tydeliggjøre programansvaret </w:t>
      </w:r>
    </w:p>
    <w:p w:rsidR="00A811EC" w:rsidRDefault="00317D8D" w:rsidP="00317D8D">
      <w:pPr>
        <w:pStyle w:val="Listeavsnitt"/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 w:rsidRPr="00A811EC">
        <w:rPr>
          <w:rFonts w:ascii="Georgia" w:hAnsi="Georgia" w:cs="BookAntiqua-BoldItalic"/>
          <w:bCs/>
          <w:iCs/>
        </w:rPr>
        <w:t>Stimulere utvikling tverrfaglige programtilbud</w:t>
      </w:r>
    </w:p>
    <w:p w:rsidR="00277762" w:rsidRPr="00317D8D" w:rsidRDefault="00277762" w:rsidP="00317D8D">
      <w:pPr>
        <w:pStyle w:val="Listeavsnitt"/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>Program utenom det vanlige (flaggskip, MOOC, næringsrettede studier)</w:t>
      </w:r>
    </w:p>
    <w:p w:rsidR="00317D8D" w:rsidRDefault="00317D8D" w:rsidP="00E34B44">
      <w:pPr>
        <w:rPr>
          <w:rFonts w:ascii="Georgia" w:hAnsi="Georgia"/>
        </w:rPr>
      </w:pPr>
    </w:p>
    <w:p w:rsidR="000828E9" w:rsidRDefault="00E34B44" w:rsidP="000828E9">
      <w:pPr>
        <w:rPr>
          <w:rFonts w:ascii="Georgia" w:hAnsi="Georgia"/>
        </w:rPr>
      </w:pPr>
      <w:r>
        <w:rPr>
          <w:rFonts w:ascii="Georgia" w:hAnsi="Georgia"/>
        </w:rPr>
        <w:t>Programråd er nedfelt i normalregler for fakultet</w:t>
      </w:r>
      <w:r w:rsidR="00D72414">
        <w:rPr>
          <w:rFonts w:ascii="Georgia" w:hAnsi="Georgia"/>
        </w:rPr>
        <w:t>er</w:t>
      </w:r>
      <w:r>
        <w:rPr>
          <w:rFonts w:ascii="Georgia" w:hAnsi="Georgia"/>
        </w:rPr>
        <w:t xml:space="preserve"> </w:t>
      </w:r>
      <w:r w:rsidR="00D72414">
        <w:rPr>
          <w:rFonts w:ascii="Georgia" w:hAnsi="Georgia"/>
        </w:rPr>
        <w:t xml:space="preserve">vedtatt av Universitetsstyret. </w:t>
      </w:r>
      <w:r w:rsidR="00D72414" w:rsidRPr="00D72414">
        <w:rPr>
          <w:rFonts w:ascii="Georgia" w:hAnsi="Georgia"/>
        </w:rPr>
        <w:t xml:space="preserve">For alle studietilbud som leder fram til en grad skal det opprettes programråd som er delegert det koordinerende ansvar for tilbudet. Ett programråd kan </w:t>
      </w:r>
      <w:r w:rsidR="00D72414">
        <w:rPr>
          <w:rFonts w:ascii="Georgia" w:hAnsi="Georgia"/>
        </w:rPr>
        <w:t xml:space="preserve">imidlertid </w:t>
      </w:r>
      <w:r w:rsidR="00D72414" w:rsidRPr="00D72414">
        <w:rPr>
          <w:rFonts w:ascii="Georgia" w:hAnsi="Georgia"/>
        </w:rPr>
        <w:t>tillegges ansvar for flere studieprogrammer</w:t>
      </w:r>
      <w:r w:rsidR="00D72414">
        <w:rPr>
          <w:rFonts w:ascii="Georgia" w:hAnsi="Georgia"/>
        </w:rPr>
        <w:t xml:space="preserve">. </w:t>
      </w:r>
      <w:r w:rsidR="00A50EA4">
        <w:rPr>
          <w:rFonts w:ascii="Georgia" w:hAnsi="Georgia"/>
        </w:rPr>
        <w:t xml:space="preserve">Programrådet har i følge UiOs kvalitetssystem programråd og programledere som har «ansvar for innholdet i og tilretteleggingen av studieprogrammet sitt, slik at det framstår som et helhetlig studieprogram av høy kvalitet». </w:t>
      </w:r>
      <w:r w:rsidR="00D72414">
        <w:rPr>
          <w:rFonts w:ascii="Georgia" w:hAnsi="Georgia"/>
        </w:rPr>
        <w:t xml:space="preserve">Det kan stilles spørsmål om programstrukturen og programrådets fungerer godt nok for å få til tverrfaglighet og en større fleksibilitet i utdanningsvalg. Dette gjelder også den reguleringen som ligger i </w:t>
      </w:r>
      <w:proofErr w:type="spellStart"/>
      <w:r w:rsidR="00D72414">
        <w:rPr>
          <w:rFonts w:ascii="Georgia" w:hAnsi="Georgia"/>
        </w:rPr>
        <w:t>NOKUTs</w:t>
      </w:r>
      <w:proofErr w:type="spellEnd"/>
      <w:r w:rsidR="00D72414">
        <w:rPr>
          <w:rFonts w:ascii="Georgia" w:hAnsi="Georgia"/>
        </w:rPr>
        <w:t xml:space="preserve"> </w:t>
      </w:r>
      <w:r w:rsidR="00D72414" w:rsidRPr="00D72414">
        <w:rPr>
          <w:rFonts w:ascii="Georgia" w:hAnsi="Georgia"/>
        </w:rPr>
        <w:t>Forskrift om tilsyn med utdanningskvaliteten i høyere utdanning (</w:t>
      </w:r>
      <w:proofErr w:type="spellStart"/>
      <w:r w:rsidR="00D72414" w:rsidRPr="00D72414">
        <w:rPr>
          <w:rFonts w:ascii="Georgia" w:hAnsi="Georgia"/>
        </w:rPr>
        <w:t>studietilsynsforskriften</w:t>
      </w:r>
      <w:proofErr w:type="spellEnd"/>
      <w:r w:rsidR="00D72414" w:rsidRPr="00D72414">
        <w:rPr>
          <w:rFonts w:ascii="Georgia" w:hAnsi="Georgia"/>
        </w:rPr>
        <w:t>)</w:t>
      </w:r>
      <w:r w:rsidR="00D72414">
        <w:rPr>
          <w:rFonts w:ascii="Georgia" w:hAnsi="Georgia"/>
        </w:rPr>
        <w:t>. Programrådene har først og fremst en koordinerende rolle, men er samtidig det organet som behandler utdannings</w:t>
      </w:r>
      <w:r w:rsidR="00C9510E">
        <w:rPr>
          <w:rFonts w:ascii="Georgia" w:hAnsi="Georgia"/>
        </w:rPr>
        <w:t>- og undervisning</w:t>
      </w:r>
      <w:r w:rsidR="00D72414">
        <w:rPr>
          <w:rFonts w:ascii="Georgia" w:hAnsi="Georgia"/>
        </w:rPr>
        <w:t>s</w:t>
      </w:r>
      <w:r w:rsidR="00C9510E">
        <w:rPr>
          <w:rFonts w:ascii="Georgia" w:hAnsi="Georgia"/>
        </w:rPr>
        <w:t>s</w:t>
      </w:r>
      <w:r w:rsidR="00D72414">
        <w:rPr>
          <w:rFonts w:ascii="Georgia" w:hAnsi="Georgia"/>
        </w:rPr>
        <w:t>pørsmålene ve</w:t>
      </w:r>
      <w:r w:rsidR="000828E9">
        <w:rPr>
          <w:rFonts w:ascii="Georgia" w:hAnsi="Georgia"/>
        </w:rPr>
        <w:t xml:space="preserve">d et institutt. </w:t>
      </w:r>
    </w:p>
    <w:p w:rsidR="00D2074B" w:rsidRPr="00A64646" w:rsidRDefault="00D2074B" w:rsidP="00A64646">
      <w:pPr>
        <w:pStyle w:val="Listeavsnitt"/>
        <w:numPr>
          <w:ilvl w:val="0"/>
          <w:numId w:val="3"/>
        </w:numPr>
        <w:rPr>
          <w:rFonts w:ascii="Georgia" w:hAnsi="Georgia" w:cs="BookAntiqua-BoldItalic"/>
          <w:bCs/>
          <w:iCs/>
        </w:rPr>
      </w:pPr>
      <w:r w:rsidRPr="00A64646">
        <w:rPr>
          <w:rFonts w:ascii="Georgia" w:hAnsi="Georgia" w:cs="BookAntiqua-BoldItalic"/>
          <w:bCs/>
          <w:iCs/>
        </w:rPr>
        <w:t>Tiltak for bedre oppfølging og tilbakemelding til studentene</w:t>
      </w:r>
    </w:p>
    <w:p w:rsidR="00317D8D" w:rsidRPr="00317D8D" w:rsidRDefault="00A811EC" w:rsidP="00317D8D">
      <w:pPr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 w:rsidRPr="00D72414">
        <w:rPr>
          <w:rFonts w:ascii="Georgia" w:hAnsi="Georgia" w:cs="BookAntiqua-BoldItalic"/>
          <w:bCs/>
          <w:iCs/>
        </w:rPr>
        <w:t>Systematisk analyse av data og tilbakeføringssløyfer</w:t>
      </w:r>
    </w:p>
    <w:p w:rsidR="00317D8D" w:rsidRDefault="00317D8D" w:rsidP="00317D8D">
      <w:pPr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 w:rsidRPr="00D72414">
        <w:rPr>
          <w:rFonts w:ascii="Georgia" w:hAnsi="Georgia" w:cs="BookAntiqua-BoldItalic"/>
          <w:bCs/>
          <w:iCs/>
        </w:rPr>
        <w:t xml:space="preserve">Differensiere </w:t>
      </w:r>
      <w:proofErr w:type="spellStart"/>
      <w:r>
        <w:rPr>
          <w:rFonts w:ascii="Georgia" w:hAnsi="Georgia" w:cs="BookAntiqua-BoldItalic"/>
          <w:bCs/>
          <w:iCs/>
          <w:lang w:val="en-US"/>
        </w:rPr>
        <w:t>oppfølgingen</w:t>
      </w:r>
      <w:proofErr w:type="spellEnd"/>
      <w:r>
        <w:rPr>
          <w:rFonts w:ascii="Georgia" w:hAnsi="Georgia" w:cs="BookAntiqua-BoldItalic"/>
          <w:bCs/>
          <w:iCs/>
          <w:lang w:val="en-US"/>
        </w:rPr>
        <w:t xml:space="preserve"> </w:t>
      </w:r>
    </w:p>
    <w:p w:rsidR="004C073B" w:rsidRPr="00317D8D" w:rsidRDefault="003963FC" w:rsidP="00317D8D">
      <w:pPr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proofErr w:type="spellStart"/>
      <w:r w:rsidRPr="00317D8D">
        <w:rPr>
          <w:rFonts w:ascii="Georgia" w:hAnsi="Georgia" w:cs="BookAntiqua-BoldItalic"/>
          <w:bCs/>
          <w:iCs/>
          <w:lang w:val="en-US"/>
        </w:rPr>
        <w:t>Kontakt</w:t>
      </w:r>
      <w:proofErr w:type="spellEnd"/>
      <w:r w:rsidRPr="00317D8D"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 w:rsidRPr="00317D8D">
        <w:rPr>
          <w:rFonts w:ascii="Georgia" w:hAnsi="Georgia" w:cs="BookAntiqua-BoldItalic"/>
          <w:bCs/>
          <w:iCs/>
          <w:lang w:val="en-US"/>
        </w:rPr>
        <w:t>mellom</w:t>
      </w:r>
      <w:proofErr w:type="spellEnd"/>
      <w:r w:rsidRPr="00317D8D"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 w:rsidRPr="00317D8D">
        <w:rPr>
          <w:rFonts w:ascii="Georgia" w:hAnsi="Georgia" w:cs="BookAntiqua-BoldItalic"/>
          <w:bCs/>
          <w:iCs/>
          <w:lang w:val="en-US"/>
        </w:rPr>
        <w:t>underviser</w:t>
      </w:r>
      <w:r w:rsidR="000828E9">
        <w:rPr>
          <w:rFonts w:ascii="Georgia" w:hAnsi="Georgia" w:cs="BookAntiqua-BoldItalic"/>
          <w:bCs/>
          <w:iCs/>
          <w:lang w:val="en-US"/>
        </w:rPr>
        <w:t>e</w:t>
      </w:r>
      <w:proofErr w:type="spellEnd"/>
      <w:r w:rsidRPr="00317D8D">
        <w:rPr>
          <w:rFonts w:ascii="Georgia" w:hAnsi="Georgia" w:cs="BookAntiqua-BoldItalic"/>
          <w:bCs/>
          <w:iCs/>
          <w:lang w:val="en-US"/>
        </w:rPr>
        <w:t>/</w:t>
      </w:r>
      <w:proofErr w:type="spellStart"/>
      <w:r w:rsidRPr="00317D8D">
        <w:rPr>
          <w:rFonts w:ascii="Georgia" w:hAnsi="Georgia" w:cs="BookAntiqua-BoldItalic"/>
          <w:bCs/>
          <w:iCs/>
          <w:lang w:val="en-US"/>
        </w:rPr>
        <w:t>forskere</w:t>
      </w:r>
      <w:proofErr w:type="spellEnd"/>
      <w:r w:rsidRPr="00317D8D"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 w:rsidRPr="00317D8D">
        <w:rPr>
          <w:rFonts w:ascii="Georgia" w:hAnsi="Georgia" w:cs="BookAntiqua-BoldItalic"/>
          <w:bCs/>
          <w:iCs/>
          <w:lang w:val="en-US"/>
        </w:rPr>
        <w:t>og</w:t>
      </w:r>
      <w:proofErr w:type="spellEnd"/>
      <w:r w:rsidRPr="00317D8D"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 w:rsidRPr="00317D8D">
        <w:rPr>
          <w:rFonts w:ascii="Georgia" w:hAnsi="Georgia" w:cs="BookAntiqua-BoldItalic"/>
          <w:bCs/>
          <w:iCs/>
          <w:lang w:val="en-US"/>
        </w:rPr>
        <w:t>studenter</w:t>
      </w:r>
      <w:proofErr w:type="spellEnd"/>
      <w:r w:rsidRPr="00317D8D">
        <w:rPr>
          <w:rFonts w:ascii="Georgia" w:hAnsi="Georgia" w:cs="BookAntiqua-BoldItalic"/>
          <w:bCs/>
          <w:iCs/>
          <w:lang w:val="en-US"/>
        </w:rPr>
        <w:t xml:space="preserve"> </w:t>
      </w:r>
    </w:p>
    <w:p w:rsidR="00317D8D" w:rsidRDefault="00277762" w:rsidP="00317D8D">
      <w:pPr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 w:rsidRPr="00277762">
        <w:rPr>
          <w:rFonts w:ascii="Georgia" w:hAnsi="Georgia" w:cs="BookAntiqua-BoldItalic"/>
          <w:bCs/>
          <w:iCs/>
        </w:rPr>
        <w:t>Bidra til å strukturere</w:t>
      </w:r>
      <w:r w:rsidR="00317D8D" w:rsidRPr="00277762">
        <w:rPr>
          <w:rFonts w:ascii="Georgia" w:hAnsi="Georgia" w:cs="BookAntiqua-BoldItalic"/>
          <w:bCs/>
          <w:iCs/>
        </w:rPr>
        <w:t xml:space="preserve"> studentenes tid til selvstudium </w:t>
      </w:r>
      <w:r w:rsidRPr="00277762">
        <w:rPr>
          <w:rFonts w:ascii="Georgia" w:hAnsi="Georgia" w:cs="BookAntiqua-BoldItalic"/>
          <w:bCs/>
          <w:iCs/>
        </w:rPr>
        <w:t>og tydeliggjøre forventninger</w:t>
      </w:r>
    </w:p>
    <w:p w:rsidR="00277762" w:rsidRDefault="00277762" w:rsidP="00317D8D">
      <w:pPr>
        <w:numPr>
          <w:ilvl w:val="1"/>
          <w:numId w:val="3"/>
        </w:num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>Styrke introopplegget (inkl. studieteknikk)</w:t>
      </w:r>
    </w:p>
    <w:p w:rsidR="002B06E3" w:rsidRDefault="002B06E3" w:rsidP="002B06E3">
      <w:pPr>
        <w:spacing w:after="0"/>
        <w:ind w:left="360"/>
        <w:rPr>
          <w:rFonts w:ascii="Georgia" w:hAnsi="Georgia" w:cs="BookAntiqua-BoldItalic"/>
          <w:bCs/>
          <w:iCs/>
        </w:rPr>
      </w:pPr>
    </w:p>
    <w:p w:rsidR="002B06E3" w:rsidRPr="00317D8D" w:rsidRDefault="002B06E3" w:rsidP="002B06E3">
      <w:pPr>
        <w:spacing w:after="0"/>
        <w:ind w:left="36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t>I mange tilfeller handler det om at vi må vite mer om hva studentene faktisk lærer noe av – vi må undervise</w:t>
      </w:r>
      <w:r w:rsidR="000828E9">
        <w:rPr>
          <w:rFonts w:ascii="Georgia" w:hAnsi="Georgia" w:cs="BookAntiqua-BoldItalic"/>
          <w:bCs/>
          <w:iCs/>
        </w:rPr>
        <w:t xml:space="preserve"> på en klokere måte</w:t>
      </w:r>
      <w:r>
        <w:rPr>
          <w:rFonts w:ascii="Georgia" w:hAnsi="Georgia" w:cs="BookAntiqua-BoldItalic"/>
          <w:bCs/>
          <w:iCs/>
        </w:rPr>
        <w:t>. Det finnes også et ikke utløst potensiale i å strukturere den tiden studentene bruker på egenlæring noe mer (sette forventninger, gi regi på hvordan de k</w:t>
      </w:r>
      <w:r w:rsidR="00C9510E">
        <w:rPr>
          <w:rFonts w:ascii="Georgia" w:hAnsi="Georgia" w:cs="BookAntiqua-BoldItalic"/>
          <w:bCs/>
          <w:iCs/>
        </w:rPr>
        <w:t xml:space="preserve">an arbeide alene eller sammen). Med andre ord, er det slik at studentene kan «styres» mer – kan vi øke innslaget av peer </w:t>
      </w:r>
      <w:proofErr w:type="spellStart"/>
      <w:r w:rsidR="00C9510E">
        <w:rPr>
          <w:rFonts w:ascii="Georgia" w:hAnsi="Georgia" w:cs="BookAntiqua-BoldItalic"/>
          <w:bCs/>
          <w:iCs/>
        </w:rPr>
        <w:t>learning</w:t>
      </w:r>
      <w:proofErr w:type="spellEnd"/>
      <w:r w:rsidR="00C9510E">
        <w:rPr>
          <w:rFonts w:ascii="Georgia" w:hAnsi="Georgia" w:cs="BookAntiqua-BoldItalic"/>
          <w:bCs/>
          <w:iCs/>
        </w:rPr>
        <w:t>?</w:t>
      </w:r>
    </w:p>
    <w:p w:rsidR="00317D8D" w:rsidRDefault="00317D8D" w:rsidP="00277762">
      <w:pPr>
        <w:spacing w:after="0"/>
        <w:ind w:left="360"/>
        <w:rPr>
          <w:rFonts w:ascii="Georgia" w:hAnsi="Georgia" w:cs="BookAntiqua-BoldItalic"/>
          <w:bCs/>
          <w:iCs/>
        </w:rPr>
      </w:pPr>
    </w:p>
    <w:p w:rsidR="004C073B" w:rsidRPr="002B06E3" w:rsidRDefault="00277762" w:rsidP="00D2074B">
      <w:pPr>
        <w:numPr>
          <w:ilvl w:val="0"/>
          <w:numId w:val="3"/>
        </w:numPr>
        <w:spacing w:after="0"/>
        <w:ind w:left="360"/>
        <w:rPr>
          <w:rFonts w:ascii="Georgia" w:hAnsi="Georgia" w:cs="BookAntiqua-BoldItalic"/>
          <w:bCs/>
          <w:iCs/>
        </w:rPr>
      </w:pPr>
      <w:bookmarkStart w:id="0" w:name="_GoBack"/>
      <w:proofErr w:type="spellStart"/>
      <w:r>
        <w:rPr>
          <w:rFonts w:ascii="Georgia" w:hAnsi="Georgia" w:cs="BookAntiqua-BoldItalic"/>
          <w:bCs/>
          <w:iCs/>
          <w:lang w:val="en-US"/>
        </w:rPr>
        <w:lastRenderedPageBreak/>
        <w:t>Utdanningskvalitet</w:t>
      </w:r>
      <w:proofErr w:type="spellEnd"/>
      <w:r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>
        <w:rPr>
          <w:rFonts w:ascii="Georgia" w:hAnsi="Georgia" w:cs="BookAntiqua-BoldItalic"/>
          <w:bCs/>
          <w:iCs/>
          <w:lang w:val="en-US"/>
        </w:rPr>
        <w:t>gjennom</w:t>
      </w:r>
      <w:proofErr w:type="spellEnd"/>
      <w:r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>
        <w:rPr>
          <w:rFonts w:ascii="Georgia" w:hAnsi="Georgia" w:cs="BookAntiqua-BoldItalic"/>
          <w:bCs/>
          <w:iCs/>
          <w:lang w:val="en-US"/>
        </w:rPr>
        <w:t>bedre</w:t>
      </w:r>
      <w:proofErr w:type="spellEnd"/>
      <w:r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>
        <w:rPr>
          <w:rFonts w:ascii="Georgia" w:hAnsi="Georgia" w:cs="BookAntiqua-BoldItalic"/>
          <w:bCs/>
          <w:iCs/>
          <w:lang w:val="en-US"/>
        </w:rPr>
        <w:t>utnyttelse</w:t>
      </w:r>
      <w:proofErr w:type="spellEnd"/>
      <w:r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>
        <w:rPr>
          <w:rFonts w:ascii="Georgia" w:hAnsi="Georgia" w:cs="BookAntiqua-BoldItalic"/>
          <w:bCs/>
          <w:iCs/>
          <w:lang w:val="en-US"/>
        </w:rPr>
        <w:t>av</w:t>
      </w:r>
      <w:proofErr w:type="spellEnd"/>
      <w:r>
        <w:rPr>
          <w:rFonts w:ascii="Georgia" w:hAnsi="Georgia" w:cs="BookAntiqua-BoldItalic"/>
          <w:bCs/>
          <w:iCs/>
          <w:lang w:val="en-US"/>
        </w:rPr>
        <w:t xml:space="preserve"> </w:t>
      </w:r>
      <w:proofErr w:type="spellStart"/>
      <w:r>
        <w:rPr>
          <w:rFonts w:ascii="Georgia" w:hAnsi="Georgia" w:cs="BookAntiqua-BoldItalic"/>
          <w:bCs/>
          <w:iCs/>
          <w:lang w:val="en-US"/>
        </w:rPr>
        <w:t>bygningsmassen</w:t>
      </w:r>
      <w:proofErr w:type="spellEnd"/>
    </w:p>
    <w:bookmarkEnd w:id="0"/>
    <w:p w:rsidR="002B06E3" w:rsidRPr="002B06E3" w:rsidRDefault="002B06E3" w:rsidP="002B06E3">
      <w:pPr>
        <w:spacing w:after="0"/>
        <w:rPr>
          <w:rFonts w:ascii="Georgia" w:hAnsi="Georgia" w:cs="BookAntiqua-BoldItalic"/>
          <w:bCs/>
          <w:iCs/>
        </w:rPr>
      </w:pPr>
      <w:r>
        <w:rPr>
          <w:rFonts w:ascii="Georgia" w:hAnsi="Georgia" w:cs="BookAntiqua-BoldItalic"/>
          <w:bCs/>
          <w:iCs/>
        </w:rPr>
        <w:br/>
      </w:r>
      <w:r w:rsidRPr="002B06E3">
        <w:rPr>
          <w:rFonts w:ascii="Georgia" w:hAnsi="Georgia" w:cs="BookAntiqua-BoldItalic"/>
          <w:bCs/>
          <w:iCs/>
        </w:rPr>
        <w:t>Eksempel: Dersom vi er opptatt av fleksible lærin</w:t>
      </w:r>
      <w:r>
        <w:rPr>
          <w:rFonts w:ascii="Georgia" w:hAnsi="Georgia" w:cs="BookAntiqua-BoldItalic"/>
          <w:bCs/>
          <w:iCs/>
        </w:rPr>
        <w:t xml:space="preserve">gsformer og at studentene skal </w:t>
      </w:r>
      <w:r w:rsidRPr="002B06E3">
        <w:rPr>
          <w:rFonts w:ascii="Georgia" w:hAnsi="Georgia" w:cs="BookAntiqua-BoldItalic"/>
          <w:bCs/>
          <w:iCs/>
        </w:rPr>
        <w:t>bruke mye tid på å jobb</w:t>
      </w:r>
      <w:r>
        <w:rPr>
          <w:rFonts w:ascii="Georgia" w:hAnsi="Georgia" w:cs="BookAntiqua-BoldItalic"/>
          <w:bCs/>
          <w:iCs/>
        </w:rPr>
        <w:t>e</w:t>
      </w:r>
      <w:r w:rsidRPr="002B06E3">
        <w:rPr>
          <w:rFonts w:ascii="Georgia" w:hAnsi="Georgia" w:cs="BookAntiqua-BoldItalic"/>
          <w:bCs/>
          <w:iCs/>
        </w:rPr>
        <w:t xml:space="preserve"> sammen </w:t>
      </w:r>
      <w:r>
        <w:rPr>
          <w:rFonts w:ascii="Georgia" w:hAnsi="Georgia" w:cs="BookAntiqua-BoldItalic"/>
          <w:bCs/>
          <w:iCs/>
        </w:rPr>
        <w:t>i</w:t>
      </w:r>
      <w:r w:rsidRPr="002B06E3">
        <w:rPr>
          <w:rFonts w:ascii="Georgia" w:hAnsi="Georgia" w:cs="BookAntiqua-BoldItalic"/>
          <w:bCs/>
          <w:iCs/>
        </w:rPr>
        <w:t xml:space="preserve"> større eller mindre grupper, må vi ha arenaer og lokaler for dette</w:t>
      </w:r>
      <w:r>
        <w:rPr>
          <w:rFonts w:ascii="Georgia" w:hAnsi="Georgia" w:cs="BookAntiqua-BoldItalic"/>
          <w:bCs/>
          <w:iCs/>
        </w:rPr>
        <w:t xml:space="preserve">. </w:t>
      </w:r>
      <w:r w:rsidR="00C9510E">
        <w:rPr>
          <w:rFonts w:ascii="Georgia" w:hAnsi="Georgia" w:cs="BookAntiqua-BoldItalic"/>
          <w:bCs/>
          <w:iCs/>
        </w:rPr>
        <w:t xml:space="preserve">Våre biblioteker er utmerkede læringsmiljøer som nok kan utnyttes enda bedre enn i dag.  </w:t>
      </w:r>
    </w:p>
    <w:p w:rsidR="00D2074B" w:rsidRPr="00A811EC" w:rsidRDefault="00D2074B" w:rsidP="007205C3">
      <w:pPr>
        <w:spacing w:after="0"/>
        <w:rPr>
          <w:rFonts w:ascii="Georgia" w:hAnsi="Georgia" w:cs="BookAntiqua-BoldItalic"/>
          <w:bCs/>
          <w:iCs/>
        </w:rPr>
      </w:pPr>
    </w:p>
    <w:p w:rsidR="00D2074B" w:rsidRPr="00A811EC" w:rsidRDefault="00D2074B" w:rsidP="007205C3">
      <w:pPr>
        <w:spacing w:after="0"/>
        <w:rPr>
          <w:rFonts w:ascii="Georgia" w:hAnsi="Georgia" w:cs="BookAntiqua-BoldItalic"/>
          <w:bCs/>
          <w:iCs/>
        </w:rPr>
      </w:pPr>
    </w:p>
    <w:p w:rsidR="007205C3" w:rsidRPr="00A811EC" w:rsidRDefault="007205C3" w:rsidP="007205C3">
      <w:pPr>
        <w:spacing w:after="0"/>
        <w:rPr>
          <w:rFonts w:ascii="Georgia" w:hAnsi="Georgia" w:cs="BookAntiqua-BoldItalic"/>
          <w:bCs/>
          <w:iCs/>
        </w:rPr>
      </w:pPr>
    </w:p>
    <w:p w:rsidR="007205C3" w:rsidRDefault="002B06E3">
      <w:pPr>
        <w:rPr>
          <w:rFonts w:ascii="Georgia" w:hAnsi="Georgia"/>
        </w:rPr>
      </w:pPr>
      <w:r w:rsidRPr="002B06E3">
        <w:rPr>
          <w:rFonts w:ascii="Georgia" w:hAnsi="Georgia"/>
        </w:rPr>
        <w:t>Spørsmål til utdanningskomiteen</w:t>
      </w:r>
      <w:r>
        <w:rPr>
          <w:rFonts w:ascii="Georgia" w:hAnsi="Georgia"/>
        </w:rPr>
        <w:t>:</w:t>
      </w:r>
    </w:p>
    <w:p w:rsidR="002B06E3" w:rsidRPr="002B06E3" w:rsidRDefault="00A64646" w:rsidP="002B06E3">
      <w:pPr>
        <w:pStyle w:val="Listeavsnitt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Har utdanningskomiteen i</w:t>
      </w:r>
      <w:r w:rsidR="002B06E3" w:rsidRPr="002B06E3">
        <w:rPr>
          <w:rFonts w:ascii="Georgia" w:hAnsi="Georgia"/>
        </w:rPr>
        <w:t>nnspill til arbeidsgruppens forståelse av nåsituasjonen</w:t>
      </w:r>
      <w:r>
        <w:rPr>
          <w:rFonts w:ascii="Georgia" w:hAnsi="Georgia"/>
        </w:rPr>
        <w:t xml:space="preserve"> ved UiO</w:t>
      </w:r>
      <w:r w:rsidR="002B06E3" w:rsidRPr="002B06E3">
        <w:rPr>
          <w:rFonts w:ascii="Georgia" w:hAnsi="Georgia"/>
        </w:rPr>
        <w:t>?</w:t>
      </w:r>
    </w:p>
    <w:p w:rsidR="002B06E3" w:rsidRDefault="00A64646" w:rsidP="002B06E3">
      <w:pPr>
        <w:pStyle w:val="Listeavsnitt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Har utdanningskomiteen k</w:t>
      </w:r>
      <w:r w:rsidR="002B06E3" w:rsidRPr="002B06E3">
        <w:rPr>
          <w:rFonts w:ascii="Georgia" w:hAnsi="Georgia"/>
        </w:rPr>
        <w:t>ommentarer til arbeidsgruppens første mulige prioriteringer av oppgaver/tiltak?</w:t>
      </w:r>
    </w:p>
    <w:p w:rsidR="00C9510E" w:rsidRDefault="00C9510E" w:rsidP="002B06E3">
      <w:pPr>
        <w:pStyle w:val="Listeavsnitt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Dersom utdanningskomiteens medlemmer hadde vært med i SAB-gruppa, hva hadde da fått plass øverst på prioriteringslista</w:t>
      </w:r>
      <w:r w:rsidR="005B49B1">
        <w:rPr>
          <w:rFonts w:ascii="Georgia" w:hAnsi="Georgia"/>
        </w:rPr>
        <w:t xml:space="preserve"> (uavhengig av SAB-gruppas arbeid så langt)? </w:t>
      </w:r>
    </w:p>
    <w:p w:rsidR="00C9510E" w:rsidRDefault="00C9510E" w:rsidP="00C9510E">
      <w:pPr>
        <w:pStyle w:val="Listeavsnitt"/>
        <w:rPr>
          <w:rFonts w:ascii="Georgia" w:hAnsi="Georgia"/>
        </w:rPr>
      </w:pPr>
    </w:p>
    <w:p w:rsidR="00A64646" w:rsidRDefault="00A64646" w:rsidP="00C9510E">
      <w:pPr>
        <w:pStyle w:val="Listeavsnitt"/>
        <w:rPr>
          <w:rFonts w:ascii="Georgia" w:hAnsi="Georgia"/>
        </w:rPr>
      </w:pPr>
    </w:p>
    <w:p w:rsidR="00A64646" w:rsidRDefault="00A64646" w:rsidP="00C9510E">
      <w:pPr>
        <w:pStyle w:val="Listeavsnitt"/>
        <w:rPr>
          <w:rFonts w:ascii="Georgia" w:hAnsi="Georgia"/>
        </w:rPr>
      </w:pPr>
    </w:p>
    <w:p w:rsidR="00A64646" w:rsidRDefault="00A64646" w:rsidP="00A64646">
      <w:pPr>
        <w:pStyle w:val="Listeavsnitt"/>
        <w:ind w:left="0"/>
        <w:rPr>
          <w:rFonts w:ascii="Georgia" w:hAnsi="Georgia"/>
        </w:rPr>
      </w:pPr>
      <w:r>
        <w:rPr>
          <w:rFonts w:ascii="Georgia" w:hAnsi="Georgia"/>
        </w:rPr>
        <w:t>Vedlegg1: Arbeidsgruppens mandat</w:t>
      </w:r>
    </w:p>
    <w:p w:rsidR="00A64646" w:rsidRPr="002B06E3" w:rsidRDefault="00A64646" w:rsidP="00A64646">
      <w:pPr>
        <w:pStyle w:val="Listeavsnitt"/>
        <w:ind w:left="0"/>
        <w:rPr>
          <w:rFonts w:ascii="Georgia" w:hAnsi="Georgia"/>
        </w:rPr>
      </w:pPr>
      <w:r>
        <w:rPr>
          <w:rFonts w:ascii="Georgia" w:hAnsi="Georgia"/>
        </w:rPr>
        <w:t xml:space="preserve">Vedlegg 2: </w:t>
      </w:r>
      <w:r>
        <w:rPr>
          <w:rFonts w:ascii="Georgia" w:hAnsi="Georgia"/>
        </w:rPr>
        <w:t>Arbeidsgruppens sammensetning</w:t>
      </w:r>
    </w:p>
    <w:sectPr w:rsidR="00A64646" w:rsidRPr="002B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A8B"/>
    <w:multiLevelType w:val="hybridMultilevel"/>
    <w:tmpl w:val="6E22870E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342808"/>
    <w:multiLevelType w:val="hybridMultilevel"/>
    <w:tmpl w:val="5AAE51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CE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6B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6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D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A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4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45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47114"/>
    <w:multiLevelType w:val="hybridMultilevel"/>
    <w:tmpl w:val="C2FCF87C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E2546B4"/>
    <w:multiLevelType w:val="hybridMultilevel"/>
    <w:tmpl w:val="4020830E"/>
    <w:lvl w:ilvl="0" w:tplc="100E5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44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E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6B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6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D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A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4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45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26464"/>
    <w:multiLevelType w:val="hybridMultilevel"/>
    <w:tmpl w:val="55F89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6130D"/>
    <w:multiLevelType w:val="hybridMultilevel"/>
    <w:tmpl w:val="29D8C4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D"/>
    <w:rsid w:val="000828E9"/>
    <w:rsid w:val="000B37E0"/>
    <w:rsid w:val="000C470D"/>
    <w:rsid w:val="002441A2"/>
    <w:rsid w:val="00277762"/>
    <w:rsid w:val="002B06E3"/>
    <w:rsid w:val="00317D8D"/>
    <w:rsid w:val="003963FC"/>
    <w:rsid w:val="004C073B"/>
    <w:rsid w:val="004F2EE4"/>
    <w:rsid w:val="005B49B1"/>
    <w:rsid w:val="0061538C"/>
    <w:rsid w:val="007205C3"/>
    <w:rsid w:val="00722887"/>
    <w:rsid w:val="007D7034"/>
    <w:rsid w:val="00817944"/>
    <w:rsid w:val="00A32EE1"/>
    <w:rsid w:val="00A50EA4"/>
    <w:rsid w:val="00A64646"/>
    <w:rsid w:val="00A811EC"/>
    <w:rsid w:val="00AB0C02"/>
    <w:rsid w:val="00BB79CC"/>
    <w:rsid w:val="00C572AD"/>
    <w:rsid w:val="00C94CBD"/>
    <w:rsid w:val="00C9510E"/>
    <w:rsid w:val="00D2074B"/>
    <w:rsid w:val="00D72414"/>
    <w:rsid w:val="00E34B44"/>
    <w:rsid w:val="00EB7900"/>
    <w:rsid w:val="00E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2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2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6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4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3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6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8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53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7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15DB472F.dotm</Template>
  <TotalTime>6</TotalTime>
  <Pages>3</Pages>
  <Words>991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Karseth</dc:creator>
  <cp:lastModifiedBy>Anne Marthe Nilsen Gibbons</cp:lastModifiedBy>
  <cp:revision>5</cp:revision>
  <dcterms:created xsi:type="dcterms:W3CDTF">2015-03-09T20:20:00Z</dcterms:created>
  <dcterms:modified xsi:type="dcterms:W3CDTF">2015-03-09T20:28:00Z</dcterms:modified>
</cp:coreProperties>
</file>