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9" w:rsidRPr="006F5DDA" w:rsidRDefault="007A0C29" w:rsidP="007A0C29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="00230B69" w:rsidRPr="006F5DDA">
        <w:rPr>
          <w:rFonts w:ascii="Georgia" w:hAnsi="Georgia"/>
          <w:sz w:val="22"/>
          <w:szCs w:val="22"/>
        </w:rPr>
        <w:tab/>
      </w:r>
      <w:r w:rsidR="00F609B4">
        <w:rPr>
          <w:rFonts w:ascii="Georgia" w:hAnsi="Georgia"/>
          <w:sz w:val="22"/>
          <w:szCs w:val="22"/>
        </w:rPr>
        <w:t>Utdanningskomiteen</w:t>
      </w:r>
    </w:p>
    <w:p w:rsidR="007A0C29" w:rsidRPr="006F5DDA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="00230B69" w:rsidRPr="006F5DDA">
        <w:rPr>
          <w:rFonts w:ascii="Georgia" w:hAnsi="Georgia"/>
          <w:sz w:val="22"/>
          <w:szCs w:val="22"/>
        </w:rPr>
        <w:tab/>
      </w:r>
      <w:r w:rsidR="00F609B4">
        <w:rPr>
          <w:rFonts w:ascii="Georgia" w:hAnsi="Georgia"/>
          <w:sz w:val="22"/>
          <w:szCs w:val="22"/>
        </w:rPr>
        <w:t>Avdeling for fagstøtte</w:t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582"/>
      </w:tblGrid>
      <w:tr w:rsidR="007A0C29" w:rsidRPr="006F5DDA" w:rsidTr="000E150F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:rsidR="007A0C29" w:rsidRPr="00F609B4" w:rsidRDefault="008D11F2" w:rsidP="00F609B4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Orienteringssak </w:t>
            </w:r>
          </w:p>
        </w:tc>
      </w:tr>
      <w:tr w:rsidR="007A0C29" w:rsidRPr="006F5DDA" w:rsidTr="000E150F">
        <w:tc>
          <w:tcPr>
            <w:tcW w:w="1123" w:type="pct"/>
          </w:tcPr>
          <w:p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:rsidR="007A0C29" w:rsidRPr="00F609B4" w:rsidRDefault="00A93D60" w:rsidP="00C5534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19. mai 2017</w:t>
            </w:r>
          </w:p>
        </w:tc>
      </w:tr>
      <w:tr w:rsidR="007A0C29" w:rsidRPr="006F5DDA" w:rsidTr="000E150F">
        <w:tc>
          <w:tcPr>
            <w:tcW w:w="1123" w:type="pct"/>
          </w:tcPr>
          <w:p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:rsidR="007A0C29" w:rsidRPr="00F609B4" w:rsidRDefault="008D11F2" w:rsidP="00C5534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10</w:t>
            </w:r>
            <w:r w:rsidR="00A93D60">
              <w:rPr>
                <w:rFonts w:ascii="Georgia" w:hAnsi="Georgia"/>
                <w:bCs/>
              </w:rPr>
              <w:t>. mai 2017</w:t>
            </w:r>
          </w:p>
        </w:tc>
      </w:tr>
      <w:tr w:rsidR="00230B69" w:rsidRPr="006F5DDA" w:rsidTr="000E150F">
        <w:trPr>
          <w:trHeight w:val="289"/>
        </w:trPr>
        <w:tc>
          <w:tcPr>
            <w:tcW w:w="1123" w:type="pct"/>
            <w:tcBorders>
              <w:bottom w:val="nil"/>
            </w:tcBorders>
          </w:tcPr>
          <w:p w:rsidR="00230B69" w:rsidRPr="006F5DDA" w:rsidRDefault="00230B69" w:rsidP="00983DD2">
            <w:pPr>
              <w:spacing w:after="0"/>
              <w:rPr>
                <w:rFonts w:ascii="Georgia" w:hAnsi="Georgia"/>
                <w:b/>
                <w:bCs/>
              </w:rPr>
            </w:pPr>
            <w:proofErr w:type="spellStart"/>
            <w:r w:rsidRPr="006F5DDA">
              <w:rPr>
                <w:rFonts w:ascii="Georgia" w:hAnsi="Georgia"/>
                <w:b/>
                <w:bCs/>
              </w:rPr>
              <w:t>Arkivsaksnr</w:t>
            </w:r>
            <w:proofErr w:type="spellEnd"/>
            <w:r w:rsidRPr="006F5DDA">
              <w:rPr>
                <w:rFonts w:ascii="Georgia" w:hAnsi="Georgia"/>
                <w:b/>
                <w:bCs/>
              </w:rPr>
              <w:t>.:</w:t>
            </w:r>
          </w:p>
        </w:tc>
        <w:tc>
          <w:tcPr>
            <w:tcW w:w="3877" w:type="pct"/>
            <w:tcBorders>
              <w:bottom w:val="nil"/>
            </w:tcBorders>
          </w:tcPr>
          <w:p w:rsidR="00230B69" w:rsidRPr="00F609B4" w:rsidRDefault="00A93D60" w:rsidP="00230B69">
            <w:pPr>
              <w:spacing w:after="0"/>
              <w:rPr>
                <w:rFonts w:ascii="Georgia" w:hAnsi="Georgia"/>
              </w:rPr>
            </w:pPr>
            <w:r w:rsidRPr="00A93D60">
              <w:rPr>
                <w:rFonts w:ascii="Georgia" w:hAnsi="Georgia"/>
              </w:rPr>
              <w:t>2016/11437</w:t>
            </w:r>
          </w:p>
        </w:tc>
      </w:tr>
      <w:tr w:rsidR="007A0C29" w:rsidRPr="00BE6EF9" w:rsidTr="000E150F">
        <w:trPr>
          <w:trHeight w:val="17"/>
        </w:trPr>
        <w:tc>
          <w:tcPr>
            <w:tcW w:w="1123" w:type="pct"/>
          </w:tcPr>
          <w:p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Saksbehandler:</w:t>
            </w:r>
          </w:p>
        </w:tc>
        <w:tc>
          <w:tcPr>
            <w:tcW w:w="3877" w:type="pct"/>
          </w:tcPr>
          <w:p w:rsidR="007A0C29" w:rsidRPr="00BE6EF9" w:rsidRDefault="0012076C" w:rsidP="007A0C29">
            <w:pPr>
              <w:spacing w:after="0"/>
              <w:rPr>
                <w:rFonts w:ascii="Georgia" w:hAnsi="Georgia"/>
                <w:lang w:val="en-US"/>
              </w:rPr>
            </w:pPr>
            <w:r w:rsidRPr="00BE6EF9">
              <w:rPr>
                <w:rFonts w:ascii="Georgia" w:hAnsi="Georgia"/>
                <w:lang w:val="en-US"/>
              </w:rPr>
              <w:t xml:space="preserve">Jonny </w:t>
            </w:r>
            <w:r w:rsidR="00A93D60" w:rsidRPr="00BE6EF9">
              <w:rPr>
                <w:rFonts w:ascii="Georgia" w:hAnsi="Georgia"/>
                <w:lang w:val="en-US"/>
              </w:rPr>
              <w:t xml:space="preserve">Roar </w:t>
            </w:r>
            <w:proofErr w:type="spellStart"/>
            <w:r w:rsidRPr="00BE6EF9">
              <w:rPr>
                <w:rFonts w:ascii="Georgia" w:hAnsi="Georgia"/>
                <w:lang w:val="en-US"/>
              </w:rPr>
              <w:t>Sundnes</w:t>
            </w:r>
            <w:proofErr w:type="spellEnd"/>
            <w:r w:rsidRPr="00BE6EF9">
              <w:rPr>
                <w:rFonts w:ascii="Georgia" w:hAnsi="Georgia"/>
                <w:lang w:val="en-US"/>
              </w:rPr>
              <w:t xml:space="preserve">, Anne </w:t>
            </w:r>
            <w:proofErr w:type="spellStart"/>
            <w:r w:rsidRPr="00BE6EF9">
              <w:rPr>
                <w:rFonts w:ascii="Georgia" w:hAnsi="Georgia"/>
                <w:lang w:val="en-US"/>
              </w:rPr>
              <w:t>Marthe</w:t>
            </w:r>
            <w:proofErr w:type="spellEnd"/>
            <w:r w:rsidRPr="00BE6EF9">
              <w:rPr>
                <w:rFonts w:ascii="Georgia" w:hAnsi="Georgia"/>
                <w:lang w:val="en-US"/>
              </w:rPr>
              <w:t xml:space="preserve"> Gibbons (AF)</w:t>
            </w:r>
          </w:p>
        </w:tc>
      </w:tr>
    </w:tbl>
    <w:p w:rsidR="007A0C29" w:rsidRPr="00BE6EF9" w:rsidRDefault="007A0C29" w:rsidP="007A0C29">
      <w:pPr>
        <w:pStyle w:val="Topptekst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4"/>
          <w:szCs w:val="4"/>
          <w:lang w:val="en-US"/>
        </w:rPr>
      </w:pPr>
    </w:p>
    <w:p w:rsidR="0012076C" w:rsidRPr="00BE6EF9" w:rsidRDefault="0012076C" w:rsidP="0012076C">
      <w:pPr>
        <w:pStyle w:val="Topptekst"/>
        <w:tabs>
          <w:tab w:val="clear" w:pos="4536"/>
          <w:tab w:val="clear" w:pos="9072"/>
        </w:tabs>
        <w:spacing w:before="360" w:after="240"/>
        <w:rPr>
          <w:rFonts w:ascii="Georgia" w:hAnsi="Georgia"/>
          <w:b/>
          <w:bCs/>
          <w:sz w:val="28"/>
          <w:szCs w:val="28"/>
          <w:lang w:val="en-US"/>
        </w:rPr>
      </w:pPr>
      <w:bookmarkStart w:id="0" w:name="_GoBack"/>
      <w:proofErr w:type="spellStart"/>
      <w:r w:rsidRPr="00BE6EF9">
        <w:rPr>
          <w:rFonts w:ascii="Georgia" w:hAnsi="Georgia"/>
          <w:b/>
          <w:bCs/>
          <w:sz w:val="28"/>
          <w:szCs w:val="28"/>
          <w:lang w:val="en-US"/>
        </w:rPr>
        <w:t>UiOs</w:t>
      </w:r>
      <w:proofErr w:type="spellEnd"/>
      <w:r w:rsidRPr="00BE6EF9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proofErr w:type="spellStart"/>
      <w:r w:rsidRPr="00BE6EF9">
        <w:rPr>
          <w:rFonts w:ascii="Georgia" w:hAnsi="Georgia"/>
          <w:b/>
          <w:bCs/>
          <w:sz w:val="28"/>
          <w:szCs w:val="28"/>
          <w:lang w:val="en-US"/>
        </w:rPr>
        <w:t>oppfølging</w:t>
      </w:r>
      <w:proofErr w:type="spellEnd"/>
      <w:r w:rsidRPr="00BE6EF9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proofErr w:type="spellStart"/>
      <w:r w:rsidRPr="00BE6EF9">
        <w:rPr>
          <w:rFonts w:ascii="Georgia" w:hAnsi="Georgia"/>
          <w:b/>
          <w:bCs/>
          <w:sz w:val="28"/>
          <w:szCs w:val="28"/>
          <w:lang w:val="en-US"/>
        </w:rPr>
        <w:t>av</w:t>
      </w:r>
      <w:proofErr w:type="spellEnd"/>
      <w:r w:rsidRPr="00BE6EF9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="00A93D60" w:rsidRPr="00BE6EF9">
        <w:rPr>
          <w:rFonts w:ascii="Georgia" w:hAnsi="Georgia"/>
          <w:b/>
          <w:bCs/>
          <w:sz w:val="28"/>
          <w:szCs w:val="28"/>
          <w:lang w:val="en-US"/>
        </w:rPr>
        <w:t xml:space="preserve">NOKUTs </w:t>
      </w:r>
      <w:proofErr w:type="spellStart"/>
      <w:proofErr w:type="gramStart"/>
      <w:r w:rsidR="00A93D60" w:rsidRPr="00BE6EF9">
        <w:rPr>
          <w:rFonts w:ascii="Georgia" w:hAnsi="Georgia"/>
          <w:b/>
          <w:bCs/>
          <w:sz w:val="28"/>
          <w:szCs w:val="28"/>
          <w:lang w:val="en-US"/>
        </w:rPr>
        <w:t>nye</w:t>
      </w:r>
      <w:proofErr w:type="spellEnd"/>
      <w:proofErr w:type="gramEnd"/>
      <w:r w:rsidR="00A93D60" w:rsidRPr="00BE6EF9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proofErr w:type="spellStart"/>
      <w:r w:rsidR="00A93D60" w:rsidRPr="00BE6EF9">
        <w:rPr>
          <w:rFonts w:ascii="Georgia" w:hAnsi="Georgia"/>
          <w:b/>
          <w:bCs/>
          <w:sz w:val="28"/>
          <w:szCs w:val="28"/>
          <w:lang w:val="en-US"/>
        </w:rPr>
        <w:t>studietilsynsforskrift</w:t>
      </w:r>
      <w:proofErr w:type="spellEnd"/>
    </w:p>
    <w:bookmarkEnd w:id="0"/>
    <w:p w:rsidR="0012076C" w:rsidRPr="00BE6EF9" w:rsidRDefault="0012076C" w:rsidP="0012076C">
      <w:pPr>
        <w:pStyle w:val="Topptekst"/>
        <w:tabs>
          <w:tab w:val="clear" w:pos="4536"/>
          <w:tab w:val="clear" w:pos="9072"/>
        </w:tabs>
        <w:spacing w:before="300"/>
        <w:rPr>
          <w:rFonts w:ascii="Georgia" w:hAnsi="Georgia" w:cs="Calibri"/>
          <w:b/>
          <w:lang w:val="en-US"/>
        </w:rPr>
      </w:pPr>
      <w:proofErr w:type="spellStart"/>
      <w:r w:rsidRPr="00BE6EF9">
        <w:rPr>
          <w:rFonts w:ascii="Georgia" w:hAnsi="Georgia" w:cs="Calibri"/>
          <w:b/>
          <w:lang w:val="en-US"/>
        </w:rPr>
        <w:t>Bakgrunn</w:t>
      </w:r>
      <w:proofErr w:type="spellEnd"/>
    </w:p>
    <w:p w:rsidR="00A93D60" w:rsidRPr="00BE6EF9" w:rsidRDefault="00A93D60" w:rsidP="0012076C">
      <w:pPr>
        <w:pStyle w:val="Topptekst"/>
        <w:spacing w:after="120"/>
        <w:rPr>
          <w:rFonts w:ascii="Georgia" w:hAnsi="Georgia" w:cs="Calibri"/>
          <w:lang w:val="en-US"/>
        </w:rPr>
      </w:pPr>
      <w:proofErr w:type="gramStart"/>
      <w:r w:rsidRPr="00BE6EF9">
        <w:rPr>
          <w:rFonts w:ascii="Georgia" w:hAnsi="Georgia" w:cs="Calibri"/>
          <w:lang w:val="en-US"/>
        </w:rPr>
        <w:t xml:space="preserve">NOKUTs </w:t>
      </w:r>
      <w:proofErr w:type="spellStart"/>
      <w:r w:rsidRPr="00BE6EF9">
        <w:rPr>
          <w:rFonts w:ascii="Georgia" w:hAnsi="Georgia" w:cs="Calibri"/>
          <w:lang w:val="en-US"/>
        </w:rPr>
        <w:t>styre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vedtok</w:t>
      </w:r>
      <w:proofErr w:type="spellEnd"/>
      <w:r w:rsidRPr="00BE6EF9">
        <w:rPr>
          <w:rFonts w:ascii="Georgia" w:hAnsi="Georgia" w:cs="Calibri"/>
          <w:lang w:val="en-US"/>
        </w:rPr>
        <w:t xml:space="preserve"> 3.</w:t>
      </w:r>
      <w:proofErr w:type="gram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proofErr w:type="gramStart"/>
      <w:r w:rsidRPr="00BE6EF9">
        <w:rPr>
          <w:rFonts w:ascii="Georgia" w:hAnsi="Georgia" w:cs="Calibri"/>
          <w:lang w:val="en-US"/>
        </w:rPr>
        <w:t>februar</w:t>
      </w:r>
      <w:proofErr w:type="spellEnd"/>
      <w:proofErr w:type="gramEnd"/>
      <w:r w:rsidRPr="00BE6EF9">
        <w:rPr>
          <w:rFonts w:ascii="Georgia" w:hAnsi="Georgia" w:cs="Calibri"/>
          <w:lang w:val="en-US"/>
        </w:rPr>
        <w:t xml:space="preserve"> 2017 </w:t>
      </w:r>
      <w:proofErr w:type="spellStart"/>
      <w:r w:rsidRPr="00BE6EF9">
        <w:rPr>
          <w:rFonts w:ascii="Georgia" w:hAnsi="Georgia" w:cs="Calibri"/>
          <w:lang w:val="en-US"/>
        </w:rPr>
        <w:t>ny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forskrift</w:t>
      </w:r>
      <w:proofErr w:type="spellEnd"/>
      <w:r w:rsidRPr="00BE6EF9">
        <w:rPr>
          <w:rFonts w:ascii="Georgia" w:hAnsi="Georgia" w:cs="Calibri"/>
          <w:lang w:val="en-US"/>
        </w:rPr>
        <w:t xml:space="preserve"> om </w:t>
      </w:r>
      <w:proofErr w:type="spellStart"/>
      <w:r w:rsidRPr="00BE6EF9">
        <w:rPr>
          <w:rFonts w:ascii="Georgia" w:hAnsi="Georgia" w:cs="Calibri"/>
          <w:lang w:val="en-US"/>
        </w:rPr>
        <w:t>tilsyn</w:t>
      </w:r>
      <w:proofErr w:type="spellEnd"/>
      <w:r w:rsidRPr="00BE6EF9">
        <w:rPr>
          <w:rFonts w:ascii="Georgia" w:hAnsi="Georgia" w:cs="Calibri"/>
          <w:lang w:val="en-US"/>
        </w:rPr>
        <w:t xml:space="preserve"> med </w:t>
      </w:r>
      <w:proofErr w:type="spellStart"/>
      <w:r w:rsidRPr="00BE6EF9">
        <w:rPr>
          <w:rFonts w:ascii="Georgia" w:hAnsi="Georgia" w:cs="Calibri"/>
          <w:lang w:val="en-US"/>
        </w:rPr>
        <w:t>utdanningskvaliteten</w:t>
      </w:r>
      <w:proofErr w:type="spellEnd"/>
      <w:r w:rsidRPr="00BE6EF9">
        <w:rPr>
          <w:rFonts w:ascii="Georgia" w:hAnsi="Georgia" w:cs="Calibri"/>
          <w:lang w:val="en-US"/>
        </w:rPr>
        <w:t xml:space="preserve"> i </w:t>
      </w:r>
      <w:proofErr w:type="spellStart"/>
      <w:r w:rsidRPr="00BE6EF9">
        <w:rPr>
          <w:rFonts w:ascii="Georgia" w:hAnsi="Georgia" w:cs="Calibri"/>
          <w:lang w:val="en-US"/>
        </w:rPr>
        <w:t>høyere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utdanning</w:t>
      </w:r>
      <w:proofErr w:type="spellEnd"/>
      <w:r w:rsidRPr="00BE6EF9">
        <w:rPr>
          <w:rFonts w:ascii="Georgia" w:hAnsi="Georgia" w:cs="Calibri"/>
          <w:lang w:val="en-US"/>
        </w:rPr>
        <w:t xml:space="preserve"> (</w:t>
      </w:r>
      <w:proofErr w:type="spellStart"/>
      <w:r w:rsidRPr="00BE6EF9">
        <w:rPr>
          <w:rFonts w:ascii="Georgia" w:hAnsi="Georgia" w:cs="Calibri"/>
          <w:lang w:val="en-US"/>
        </w:rPr>
        <w:t>studietilsynsforskriften</w:t>
      </w:r>
      <w:proofErr w:type="spellEnd"/>
      <w:r w:rsidRPr="00BE6EF9">
        <w:rPr>
          <w:rFonts w:ascii="Georgia" w:hAnsi="Georgia" w:cs="Calibri"/>
          <w:lang w:val="en-US"/>
        </w:rPr>
        <w:t xml:space="preserve">). </w:t>
      </w:r>
      <w:proofErr w:type="spellStart"/>
      <w:r w:rsidRPr="00BE6EF9">
        <w:rPr>
          <w:rFonts w:ascii="Georgia" w:hAnsi="Georgia" w:cs="Calibri"/>
          <w:lang w:val="en-US"/>
        </w:rPr>
        <w:t>Forskriften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er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utarbeidet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på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grunnlag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av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endringer</w:t>
      </w:r>
      <w:proofErr w:type="spellEnd"/>
      <w:r w:rsidRPr="00BE6EF9">
        <w:rPr>
          <w:rFonts w:ascii="Georgia" w:hAnsi="Georgia" w:cs="Calibri"/>
          <w:lang w:val="en-US"/>
        </w:rPr>
        <w:t xml:space="preserve"> i </w:t>
      </w:r>
      <w:proofErr w:type="spellStart"/>
      <w:r w:rsidRPr="00BE6EF9">
        <w:rPr>
          <w:rFonts w:ascii="Georgia" w:hAnsi="Georgia" w:cs="Calibri"/>
          <w:lang w:val="en-US"/>
        </w:rPr>
        <w:t>universitets</w:t>
      </w:r>
      <w:proofErr w:type="spellEnd"/>
      <w:r w:rsidRPr="00BE6EF9">
        <w:rPr>
          <w:rFonts w:ascii="Georgia" w:hAnsi="Georgia" w:cs="Calibri"/>
          <w:lang w:val="en-US"/>
        </w:rPr>
        <w:t xml:space="preserve">- </w:t>
      </w:r>
      <w:proofErr w:type="gramStart"/>
      <w:r w:rsidRPr="00BE6EF9">
        <w:rPr>
          <w:rFonts w:ascii="Georgia" w:hAnsi="Georgia" w:cs="Calibri"/>
          <w:lang w:val="en-US"/>
        </w:rPr>
        <w:t>og</w:t>
      </w:r>
      <w:proofErr w:type="gram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høyskoleloven</w:t>
      </w:r>
      <w:proofErr w:type="spellEnd"/>
      <w:r w:rsidRPr="00BE6EF9">
        <w:rPr>
          <w:rFonts w:ascii="Georgia" w:hAnsi="Georgia" w:cs="Calibri"/>
          <w:lang w:val="en-US"/>
        </w:rPr>
        <w:t xml:space="preserve"> og </w:t>
      </w:r>
      <w:proofErr w:type="spellStart"/>
      <w:r w:rsidRPr="00BE6EF9">
        <w:rPr>
          <w:rFonts w:ascii="Georgia" w:hAnsi="Georgia" w:cs="Calibri"/>
          <w:lang w:val="en-US"/>
        </w:rPr>
        <w:t>Kunnskapsdepartementets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studiekvalitetsforskrift</w:t>
      </w:r>
      <w:proofErr w:type="spellEnd"/>
      <w:r w:rsidRPr="00BE6EF9">
        <w:rPr>
          <w:rFonts w:ascii="Georgia" w:hAnsi="Georgia" w:cs="Calibri"/>
          <w:lang w:val="en-US"/>
        </w:rPr>
        <w:t xml:space="preserve">, </w:t>
      </w:r>
      <w:proofErr w:type="spellStart"/>
      <w:r w:rsidRPr="00BE6EF9">
        <w:rPr>
          <w:rFonts w:ascii="Georgia" w:hAnsi="Georgia" w:cs="Calibri"/>
          <w:lang w:val="en-US"/>
        </w:rPr>
        <w:t>begge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er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behandlet</w:t>
      </w:r>
      <w:proofErr w:type="spellEnd"/>
      <w:r w:rsidRPr="00BE6EF9">
        <w:rPr>
          <w:rFonts w:ascii="Georgia" w:hAnsi="Georgia" w:cs="Calibri"/>
          <w:lang w:val="en-US"/>
        </w:rPr>
        <w:t xml:space="preserve"> i </w:t>
      </w:r>
      <w:proofErr w:type="spellStart"/>
      <w:r w:rsidRPr="00BE6EF9">
        <w:rPr>
          <w:rFonts w:ascii="Georgia" w:hAnsi="Georgia" w:cs="Calibri"/>
          <w:lang w:val="en-US"/>
        </w:rPr>
        <w:t>tidligere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høringssaker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ved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UiO</w:t>
      </w:r>
      <w:proofErr w:type="spellEnd"/>
      <w:r w:rsidRPr="00BE6EF9">
        <w:rPr>
          <w:rFonts w:ascii="Georgia" w:hAnsi="Georgia" w:cs="Calibri"/>
          <w:lang w:val="en-US"/>
        </w:rPr>
        <w:t xml:space="preserve">. </w:t>
      </w:r>
    </w:p>
    <w:p w:rsidR="0012076C" w:rsidRPr="00BE6EF9" w:rsidRDefault="0012076C" w:rsidP="0012076C">
      <w:pPr>
        <w:pStyle w:val="Topptekst"/>
        <w:spacing w:after="120"/>
        <w:rPr>
          <w:rFonts w:ascii="Georgia" w:hAnsi="Georgia" w:cs="Calibri"/>
          <w:lang w:val="en-US"/>
        </w:rPr>
      </w:pPr>
      <w:proofErr w:type="gramStart"/>
      <w:r w:rsidRPr="00BE6EF9">
        <w:rPr>
          <w:rFonts w:ascii="Georgia" w:hAnsi="Georgia" w:cs="Calibri"/>
          <w:lang w:val="en-US"/>
        </w:rPr>
        <w:t xml:space="preserve">I </w:t>
      </w:r>
      <w:proofErr w:type="spellStart"/>
      <w:r w:rsidRPr="00BE6EF9">
        <w:rPr>
          <w:rFonts w:ascii="Georgia" w:hAnsi="Georgia" w:cs="Calibri"/>
          <w:lang w:val="en-US"/>
        </w:rPr>
        <w:t>slutten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av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januar</w:t>
      </w:r>
      <w:proofErr w:type="spellEnd"/>
      <w:r w:rsidRPr="00BE6EF9">
        <w:rPr>
          <w:rFonts w:ascii="Georgia" w:hAnsi="Georgia" w:cs="Calibri"/>
          <w:lang w:val="en-US"/>
        </w:rPr>
        <w:t xml:space="preserve"> 2017 la </w:t>
      </w:r>
      <w:proofErr w:type="spellStart"/>
      <w:r w:rsidRPr="00BE6EF9">
        <w:rPr>
          <w:rFonts w:ascii="Georgia" w:hAnsi="Georgia" w:cs="Calibri"/>
          <w:lang w:val="en-US"/>
        </w:rPr>
        <w:t>Kunnskapsdepartementet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frem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stortingsmeldingen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i/>
          <w:lang w:val="en-US"/>
        </w:rPr>
        <w:t>Kultur</w:t>
      </w:r>
      <w:proofErr w:type="spellEnd"/>
      <w:r w:rsidRPr="00BE6EF9">
        <w:rPr>
          <w:rFonts w:ascii="Georgia" w:hAnsi="Georgia" w:cs="Calibri"/>
          <w:i/>
          <w:lang w:val="en-US"/>
        </w:rPr>
        <w:t xml:space="preserve"> for </w:t>
      </w:r>
      <w:proofErr w:type="spellStart"/>
      <w:r w:rsidRPr="00BE6EF9">
        <w:rPr>
          <w:rFonts w:ascii="Georgia" w:hAnsi="Georgia" w:cs="Calibri"/>
          <w:i/>
          <w:lang w:val="en-US"/>
        </w:rPr>
        <w:t>kvalitet</w:t>
      </w:r>
      <w:proofErr w:type="spellEnd"/>
      <w:r w:rsidRPr="00BE6EF9">
        <w:rPr>
          <w:rFonts w:ascii="Georgia" w:hAnsi="Georgia" w:cs="Calibri"/>
          <w:i/>
          <w:lang w:val="en-US"/>
        </w:rPr>
        <w:t xml:space="preserve"> i </w:t>
      </w:r>
      <w:proofErr w:type="spellStart"/>
      <w:r w:rsidRPr="00BE6EF9">
        <w:rPr>
          <w:rFonts w:ascii="Georgia" w:hAnsi="Georgia" w:cs="Calibri"/>
          <w:i/>
          <w:lang w:val="en-US"/>
        </w:rPr>
        <w:t>høyere</w:t>
      </w:r>
      <w:proofErr w:type="spellEnd"/>
      <w:r w:rsidRPr="00BE6EF9">
        <w:rPr>
          <w:rFonts w:ascii="Georgia" w:hAnsi="Georgia" w:cs="Calibri"/>
          <w:i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i/>
          <w:lang w:val="en-US"/>
        </w:rPr>
        <w:t>utdanning</w:t>
      </w:r>
      <w:proofErr w:type="spellEnd"/>
      <w:r w:rsidRPr="00BE6EF9">
        <w:rPr>
          <w:rFonts w:ascii="Georgia" w:hAnsi="Georgia" w:cs="Calibri"/>
          <w:lang w:val="en-US"/>
        </w:rPr>
        <w:t xml:space="preserve"> (</w:t>
      </w:r>
      <w:proofErr w:type="spellStart"/>
      <w:r w:rsidRPr="00BE6EF9">
        <w:rPr>
          <w:rFonts w:ascii="Georgia" w:hAnsi="Georgia" w:cs="Calibri"/>
          <w:lang w:val="en-US"/>
        </w:rPr>
        <w:t>heretter</w:t>
      </w:r>
      <w:proofErr w:type="spellEnd"/>
      <w:r w:rsidRPr="00BE6EF9">
        <w:rPr>
          <w:rFonts w:ascii="Georgia" w:hAnsi="Georgia" w:cs="Calibri"/>
          <w:lang w:val="en-US"/>
        </w:rPr>
        <w:t xml:space="preserve"> «</w:t>
      </w:r>
      <w:proofErr w:type="spellStart"/>
      <w:r w:rsidRPr="00BE6EF9">
        <w:rPr>
          <w:rFonts w:ascii="Georgia" w:hAnsi="Georgia" w:cs="Calibri"/>
          <w:lang w:val="en-US"/>
        </w:rPr>
        <w:t>kvalitetsmeldingen</w:t>
      </w:r>
      <w:proofErr w:type="spellEnd"/>
      <w:r w:rsidRPr="00BE6EF9">
        <w:rPr>
          <w:rFonts w:ascii="Georgia" w:hAnsi="Georgia" w:cs="Calibri"/>
          <w:lang w:val="en-US"/>
        </w:rPr>
        <w:t>»).</w:t>
      </w:r>
      <w:proofErr w:type="gram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Meldingen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er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oversendt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Stortinget</w:t>
      </w:r>
      <w:proofErr w:type="spellEnd"/>
      <w:r w:rsidRPr="00BE6EF9">
        <w:rPr>
          <w:rFonts w:ascii="Georgia" w:hAnsi="Georgia" w:cs="Calibri"/>
          <w:lang w:val="en-US"/>
        </w:rPr>
        <w:t xml:space="preserve">, </w:t>
      </w:r>
      <w:proofErr w:type="gramStart"/>
      <w:r w:rsidRPr="00BE6EF9">
        <w:rPr>
          <w:rFonts w:ascii="Georgia" w:hAnsi="Georgia" w:cs="Calibri"/>
          <w:lang w:val="en-US"/>
        </w:rPr>
        <w:t>og</w:t>
      </w:r>
      <w:proofErr w:type="gramEnd"/>
      <w:r w:rsidRPr="00BE6EF9">
        <w:rPr>
          <w:rFonts w:ascii="Georgia" w:hAnsi="Georgia" w:cs="Calibri"/>
          <w:lang w:val="en-US"/>
        </w:rPr>
        <w:t xml:space="preserve"> de </w:t>
      </w:r>
      <w:proofErr w:type="spellStart"/>
      <w:r w:rsidRPr="00BE6EF9">
        <w:rPr>
          <w:rFonts w:ascii="Georgia" w:hAnsi="Georgia" w:cs="Calibri"/>
          <w:lang w:val="en-US"/>
        </w:rPr>
        <w:t>neste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stegene</w:t>
      </w:r>
      <w:proofErr w:type="spellEnd"/>
      <w:r w:rsidRPr="00BE6EF9">
        <w:rPr>
          <w:rFonts w:ascii="Georgia" w:hAnsi="Georgia" w:cs="Calibri"/>
          <w:lang w:val="en-US"/>
        </w:rPr>
        <w:t xml:space="preserve"> i </w:t>
      </w:r>
      <w:proofErr w:type="spellStart"/>
      <w:r w:rsidRPr="00BE6EF9">
        <w:rPr>
          <w:rFonts w:ascii="Georgia" w:hAnsi="Georgia" w:cs="Calibri"/>
          <w:lang w:val="en-US"/>
        </w:rPr>
        <w:t>behandlingen</w:t>
      </w:r>
      <w:proofErr w:type="spellEnd"/>
      <w:r w:rsidRPr="00BE6EF9">
        <w:rPr>
          <w:rFonts w:ascii="Georgia" w:hAnsi="Georgia" w:cs="Calibri"/>
          <w:lang w:val="en-US"/>
        </w:rPr>
        <w:t xml:space="preserve"> der </w:t>
      </w:r>
      <w:proofErr w:type="spellStart"/>
      <w:r w:rsidRPr="00BE6EF9">
        <w:rPr>
          <w:rFonts w:ascii="Georgia" w:hAnsi="Georgia" w:cs="Calibri"/>
          <w:lang w:val="en-US"/>
        </w:rPr>
        <w:t>er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komitehøring</w:t>
      </w:r>
      <w:proofErr w:type="spellEnd"/>
      <w:r w:rsidRPr="00BE6EF9">
        <w:rPr>
          <w:rFonts w:ascii="Georgia" w:hAnsi="Georgia" w:cs="Calibri"/>
          <w:lang w:val="en-US"/>
        </w:rPr>
        <w:t xml:space="preserve"> 15. </w:t>
      </w:r>
      <w:proofErr w:type="gramStart"/>
      <w:r w:rsidRPr="00BE6EF9">
        <w:rPr>
          <w:rFonts w:ascii="Georgia" w:hAnsi="Georgia" w:cs="Calibri"/>
          <w:lang w:val="en-US"/>
        </w:rPr>
        <w:t>mars</w:t>
      </w:r>
      <w:proofErr w:type="gramEnd"/>
      <w:r w:rsidRPr="00BE6EF9">
        <w:rPr>
          <w:rFonts w:ascii="Georgia" w:hAnsi="Georgia" w:cs="Calibri"/>
          <w:lang w:val="en-US"/>
        </w:rPr>
        <w:t xml:space="preserve"> og </w:t>
      </w:r>
      <w:proofErr w:type="spellStart"/>
      <w:r w:rsidRPr="00BE6EF9">
        <w:rPr>
          <w:rFonts w:ascii="Georgia" w:hAnsi="Georgia" w:cs="Calibri"/>
          <w:lang w:val="en-US"/>
        </w:rPr>
        <w:t>debatt</w:t>
      </w:r>
      <w:proofErr w:type="spellEnd"/>
      <w:r w:rsidRPr="00BE6EF9">
        <w:rPr>
          <w:rFonts w:ascii="Georgia" w:hAnsi="Georgia" w:cs="Calibri"/>
          <w:lang w:val="en-US"/>
        </w:rPr>
        <w:t xml:space="preserve"> i </w:t>
      </w:r>
      <w:proofErr w:type="spellStart"/>
      <w:r w:rsidRPr="00BE6EF9">
        <w:rPr>
          <w:rFonts w:ascii="Georgia" w:hAnsi="Georgia" w:cs="Calibri"/>
          <w:lang w:val="en-US"/>
        </w:rPr>
        <w:t>Stortinget</w:t>
      </w:r>
      <w:proofErr w:type="spellEnd"/>
      <w:r w:rsidRPr="00BE6EF9">
        <w:rPr>
          <w:rFonts w:ascii="Georgia" w:hAnsi="Georgia" w:cs="Calibri"/>
          <w:lang w:val="en-US"/>
        </w:rPr>
        <w:t xml:space="preserve"> 7. </w:t>
      </w:r>
      <w:proofErr w:type="spellStart"/>
      <w:proofErr w:type="gramStart"/>
      <w:r w:rsidRPr="00BE6EF9">
        <w:rPr>
          <w:rFonts w:ascii="Georgia" w:hAnsi="Georgia" w:cs="Calibri"/>
          <w:lang w:val="en-US"/>
        </w:rPr>
        <w:t>juni</w:t>
      </w:r>
      <w:proofErr w:type="spellEnd"/>
      <w:proofErr w:type="gramEnd"/>
      <w:r w:rsidRPr="00BE6EF9">
        <w:rPr>
          <w:rFonts w:ascii="Georgia" w:hAnsi="Georgia" w:cs="Calibri"/>
          <w:lang w:val="en-US"/>
        </w:rPr>
        <w:t xml:space="preserve">.  </w:t>
      </w:r>
    </w:p>
    <w:p w:rsidR="0012076C" w:rsidRPr="00F875E3" w:rsidRDefault="00A93D60" w:rsidP="0012076C">
      <w:pPr>
        <w:pStyle w:val="Topptekst"/>
        <w:spacing w:after="120"/>
        <w:rPr>
          <w:rFonts w:ascii="Georgia" w:hAnsi="Georgia" w:cs="Calibri"/>
        </w:rPr>
      </w:pPr>
      <w:proofErr w:type="spellStart"/>
      <w:r w:rsidRPr="00BE6EF9">
        <w:rPr>
          <w:rFonts w:ascii="Georgia" w:hAnsi="Georgia" w:cs="Calibri"/>
          <w:lang w:val="en-US"/>
        </w:rPr>
        <w:t>Det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er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stort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sammenfall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mellom</w:t>
      </w:r>
      <w:proofErr w:type="spellEnd"/>
      <w:r w:rsidRPr="00BE6EF9">
        <w:rPr>
          <w:rFonts w:ascii="Georgia" w:hAnsi="Georgia" w:cs="Calibri"/>
          <w:lang w:val="en-US"/>
        </w:rPr>
        <w:t xml:space="preserve"> de </w:t>
      </w:r>
      <w:proofErr w:type="spellStart"/>
      <w:r w:rsidRPr="00BE6EF9">
        <w:rPr>
          <w:rFonts w:ascii="Georgia" w:hAnsi="Georgia" w:cs="Calibri"/>
          <w:lang w:val="en-US"/>
        </w:rPr>
        <w:t>overordnede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temaene</w:t>
      </w:r>
      <w:proofErr w:type="spellEnd"/>
      <w:r w:rsidRPr="00BE6EF9">
        <w:rPr>
          <w:rFonts w:ascii="Georgia" w:hAnsi="Georgia" w:cs="Calibri"/>
          <w:lang w:val="en-US"/>
        </w:rPr>
        <w:t xml:space="preserve"> i </w:t>
      </w:r>
      <w:proofErr w:type="spellStart"/>
      <w:r w:rsidRPr="00BE6EF9">
        <w:rPr>
          <w:rFonts w:ascii="Georgia" w:hAnsi="Georgia" w:cs="Calibri"/>
          <w:lang w:val="en-US"/>
        </w:rPr>
        <w:t>studietilsynsforskriften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gramStart"/>
      <w:r w:rsidRPr="00BE6EF9">
        <w:rPr>
          <w:rFonts w:ascii="Georgia" w:hAnsi="Georgia" w:cs="Calibri"/>
          <w:lang w:val="en-US"/>
        </w:rPr>
        <w:t>og</w:t>
      </w:r>
      <w:proofErr w:type="gram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kvalitets</w:t>
      </w:r>
      <w:r w:rsidRPr="00BE6EF9">
        <w:rPr>
          <w:rFonts w:ascii="Georgia" w:hAnsi="Georgia" w:cs="Calibri"/>
          <w:lang w:val="en-US"/>
        </w:rPr>
        <w:softHyphen/>
        <w:t>meldingen</w:t>
      </w:r>
      <w:proofErr w:type="spellEnd"/>
      <w:r w:rsidRPr="00BE6EF9">
        <w:rPr>
          <w:rFonts w:ascii="Georgia" w:hAnsi="Georgia" w:cs="Calibri"/>
          <w:lang w:val="en-US"/>
        </w:rPr>
        <w:t xml:space="preserve">, men </w:t>
      </w:r>
      <w:proofErr w:type="spellStart"/>
      <w:r w:rsidRPr="00BE6EF9">
        <w:rPr>
          <w:rFonts w:ascii="Georgia" w:hAnsi="Georgia" w:cs="Calibri"/>
          <w:lang w:val="en-US"/>
        </w:rPr>
        <w:t>aktuelle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tiltak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har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så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ulik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valør</w:t>
      </w:r>
      <w:proofErr w:type="spellEnd"/>
      <w:r w:rsidRPr="00BE6EF9">
        <w:rPr>
          <w:rFonts w:ascii="Georgia" w:hAnsi="Georgia" w:cs="Calibri"/>
          <w:lang w:val="en-US"/>
        </w:rPr>
        <w:t xml:space="preserve"> at </w:t>
      </w:r>
      <w:proofErr w:type="spellStart"/>
      <w:r w:rsidRPr="00BE6EF9">
        <w:rPr>
          <w:rFonts w:ascii="Georgia" w:hAnsi="Georgia" w:cs="Calibri"/>
          <w:lang w:val="en-US"/>
        </w:rPr>
        <w:t>det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legges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opp</w:t>
      </w:r>
      <w:proofErr w:type="spellEnd"/>
      <w:r w:rsidRPr="00BE6EF9">
        <w:rPr>
          <w:rFonts w:ascii="Georgia" w:hAnsi="Georgia" w:cs="Calibri"/>
          <w:lang w:val="en-US"/>
        </w:rPr>
        <w:t xml:space="preserve"> </w:t>
      </w:r>
      <w:proofErr w:type="spellStart"/>
      <w:r w:rsidRPr="00BE6EF9">
        <w:rPr>
          <w:rFonts w:ascii="Georgia" w:hAnsi="Georgia" w:cs="Calibri"/>
          <w:lang w:val="en-US"/>
        </w:rPr>
        <w:t>til</w:t>
      </w:r>
      <w:proofErr w:type="spellEnd"/>
      <w:r w:rsidRPr="00BE6EF9">
        <w:rPr>
          <w:rFonts w:ascii="Georgia" w:hAnsi="Georgia" w:cs="Calibri"/>
          <w:lang w:val="en-US"/>
        </w:rPr>
        <w:t xml:space="preserve"> separate </w:t>
      </w:r>
      <w:proofErr w:type="spellStart"/>
      <w:r w:rsidRPr="00BE6EF9">
        <w:rPr>
          <w:rFonts w:ascii="Georgia" w:hAnsi="Georgia" w:cs="Calibri"/>
          <w:lang w:val="en-US"/>
        </w:rPr>
        <w:t>løp</w:t>
      </w:r>
      <w:proofErr w:type="spellEnd"/>
      <w:r w:rsidRPr="00BE6EF9">
        <w:rPr>
          <w:rFonts w:ascii="Georgia" w:hAnsi="Georgia" w:cs="Calibri"/>
          <w:lang w:val="en-US"/>
        </w:rPr>
        <w:t xml:space="preserve">. </w:t>
      </w:r>
      <w:r>
        <w:rPr>
          <w:rFonts w:ascii="Georgia" w:hAnsi="Georgia" w:cs="Calibri"/>
        </w:rPr>
        <w:t xml:space="preserve">Forskriftssaken innebærer en mer forvaltningsmessig oppdatering av UiOs rutiner og regelverk, mens tiltakene i kvalitetsmeldingen krever politisk behandling. Denne saken handler derfor om hvordan UiO konkret skal følge opp den nye </w:t>
      </w:r>
      <w:proofErr w:type="spellStart"/>
      <w:r>
        <w:rPr>
          <w:rFonts w:ascii="Georgia" w:hAnsi="Georgia" w:cs="Calibri"/>
        </w:rPr>
        <w:t>studietilsynsforskriften</w:t>
      </w:r>
      <w:proofErr w:type="spellEnd"/>
      <w:r>
        <w:rPr>
          <w:rFonts w:ascii="Georgia" w:hAnsi="Georgia" w:cs="Calibri"/>
        </w:rPr>
        <w:t xml:space="preserve">. </w:t>
      </w:r>
    </w:p>
    <w:p w:rsidR="0012076C" w:rsidRPr="00603F7F" w:rsidRDefault="0012076C" w:rsidP="0012076C">
      <w:pPr>
        <w:pStyle w:val="Topptekst"/>
        <w:tabs>
          <w:tab w:val="clear" w:pos="4536"/>
          <w:tab w:val="clear" w:pos="9072"/>
        </w:tabs>
        <w:spacing w:before="300"/>
        <w:rPr>
          <w:rFonts w:ascii="Georgia" w:hAnsi="Georgia" w:cs="Calibri"/>
          <w:b/>
        </w:rPr>
      </w:pPr>
      <w:r w:rsidRPr="00603F7F">
        <w:rPr>
          <w:rFonts w:ascii="Georgia" w:hAnsi="Georgia" w:cs="Calibri"/>
          <w:b/>
        </w:rPr>
        <w:t>Hovedproblemstillinger</w:t>
      </w:r>
    </w:p>
    <w:p w:rsidR="0012076C" w:rsidRDefault="0012076C" w:rsidP="0012076C">
      <w:pPr>
        <w:pStyle w:val="Topptekst"/>
        <w:spacing w:after="120"/>
        <w:rPr>
          <w:rFonts w:ascii="Georgia" w:hAnsi="Georgia" w:cs="Calibri"/>
        </w:rPr>
      </w:pPr>
      <w:r w:rsidRPr="00603F7F">
        <w:rPr>
          <w:rFonts w:ascii="Georgia" w:hAnsi="Georgia" w:cs="Calibri"/>
        </w:rPr>
        <w:t>Basert på gjennomgangen av tiltakene og vurdering av nåværende status for oppfølging ved UiO, foreslår AF at følgende tiltak/aktiviteter</w:t>
      </w:r>
      <w:r w:rsidR="009044CD">
        <w:rPr>
          <w:rFonts w:ascii="Georgia" w:hAnsi="Georgia" w:cs="Calibri"/>
        </w:rPr>
        <w:t xml:space="preserve"> gjennomføres</w:t>
      </w:r>
      <w:r w:rsidRPr="00603F7F">
        <w:rPr>
          <w:rFonts w:ascii="Georgia" w:hAnsi="Georgia" w:cs="Calibri"/>
        </w:rPr>
        <w:t>:</w:t>
      </w:r>
    </w:p>
    <w:p w:rsidR="00AC5371" w:rsidRPr="00F6786B" w:rsidRDefault="00AC5371" w:rsidP="0012076C">
      <w:pPr>
        <w:pStyle w:val="Topptekst"/>
        <w:spacing w:after="120"/>
        <w:rPr>
          <w:rFonts w:ascii="Georgia" w:hAnsi="Georgia" w:cs="Calibri"/>
          <w:sz w:val="4"/>
          <w:szCs w:val="4"/>
        </w:rPr>
      </w:pPr>
    </w:p>
    <w:tbl>
      <w:tblPr>
        <w:tblStyle w:val="Tabellrutenett"/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AC5371" w:rsidTr="00AC5371">
        <w:tc>
          <w:tcPr>
            <w:tcW w:w="3119" w:type="dxa"/>
          </w:tcPr>
          <w:p w:rsidR="00AC5371" w:rsidRPr="00252959" w:rsidRDefault="00AC5371" w:rsidP="000B4AAB">
            <w:pPr>
              <w:pStyle w:val="Topptekst"/>
              <w:spacing w:before="40" w:after="120"/>
              <w:rPr>
                <w:rFonts w:ascii="Georgia" w:hAnsi="Georgia" w:cs="Calibri"/>
                <w:b/>
                <w:bCs/>
              </w:rPr>
            </w:pPr>
            <w:r w:rsidRPr="00252959">
              <w:rPr>
                <w:rFonts w:ascii="Georgia" w:hAnsi="Georgia" w:cs="Calibri"/>
                <w:b/>
                <w:bCs/>
              </w:rPr>
              <w:t>Tiltak/aktivitet</w:t>
            </w:r>
          </w:p>
        </w:tc>
        <w:tc>
          <w:tcPr>
            <w:tcW w:w="3118" w:type="dxa"/>
          </w:tcPr>
          <w:p w:rsidR="00AC5371" w:rsidRPr="00D36A3A" w:rsidRDefault="00AC5371" w:rsidP="000B4AAB">
            <w:pPr>
              <w:pStyle w:val="Topptekst"/>
              <w:spacing w:before="40" w:after="120"/>
              <w:rPr>
                <w:rFonts w:ascii="Georgia" w:hAnsi="Georgia" w:cs="Calibri"/>
                <w:b/>
                <w:bCs/>
              </w:rPr>
            </w:pPr>
            <w:r w:rsidRPr="00D36A3A">
              <w:rPr>
                <w:rFonts w:ascii="Georgia" w:hAnsi="Georgia" w:cs="Calibri"/>
                <w:b/>
                <w:bCs/>
              </w:rPr>
              <w:t>Tentativt tidsløp</w:t>
            </w:r>
          </w:p>
        </w:tc>
        <w:tc>
          <w:tcPr>
            <w:tcW w:w="3686" w:type="dxa"/>
          </w:tcPr>
          <w:p w:rsidR="00AC5371" w:rsidRPr="00D36A3A" w:rsidRDefault="00AC5371" w:rsidP="000B4AAB">
            <w:pPr>
              <w:pStyle w:val="Topptekst"/>
              <w:spacing w:before="40" w:after="120"/>
              <w:rPr>
                <w:rFonts w:ascii="Georgia" w:hAnsi="Georgia" w:cs="Calibri"/>
                <w:b/>
                <w:bCs/>
              </w:rPr>
            </w:pPr>
            <w:r w:rsidRPr="00D36A3A">
              <w:rPr>
                <w:rFonts w:ascii="Georgia" w:hAnsi="Georgia" w:cs="Calibri"/>
                <w:b/>
                <w:bCs/>
              </w:rPr>
              <w:t>Kommentar</w:t>
            </w:r>
          </w:p>
        </w:tc>
      </w:tr>
      <w:tr w:rsidR="00AC5371" w:rsidTr="00AC5371">
        <w:tc>
          <w:tcPr>
            <w:tcW w:w="3119" w:type="dxa"/>
          </w:tcPr>
          <w:p w:rsidR="00AC5371" w:rsidRDefault="00FA5AA9" w:rsidP="000B4AAB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>
              <w:rPr>
                <w:rFonts w:ascii="Georgia" w:hAnsi="Georgia" w:cs="Calibri"/>
                <w:bCs/>
              </w:rPr>
              <w:t xml:space="preserve">1) </w:t>
            </w:r>
            <w:r w:rsidR="00AC5371">
              <w:rPr>
                <w:rFonts w:ascii="Georgia" w:hAnsi="Georgia" w:cs="Calibri"/>
                <w:bCs/>
              </w:rPr>
              <w:t>Gjennomgang og vurdering av UiOs rutiner for etablering av studietilbud</w:t>
            </w:r>
          </w:p>
        </w:tc>
        <w:tc>
          <w:tcPr>
            <w:tcW w:w="3118" w:type="dxa"/>
          </w:tcPr>
          <w:p w:rsidR="00AC5371" w:rsidRPr="00D36A3A" w:rsidRDefault="00AC5371" w:rsidP="000B4AAB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 w:rsidRPr="00D36A3A">
              <w:rPr>
                <w:rFonts w:ascii="Georgia" w:hAnsi="Georgia" w:cs="Calibri"/>
                <w:bCs/>
              </w:rPr>
              <w:t xml:space="preserve">Gjennomgang og høring </w:t>
            </w:r>
            <w:r w:rsidR="00F577FD" w:rsidRPr="00D36A3A">
              <w:rPr>
                <w:rFonts w:ascii="Georgia" w:hAnsi="Georgia" w:cs="Calibri"/>
                <w:bCs/>
              </w:rPr>
              <w:t xml:space="preserve">– oppstart </w:t>
            </w:r>
            <w:r w:rsidRPr="00D36A3A">
              <w:rPr>
                <w:rFonts w:ascii="Georgia" w:hAnsi="Georgia" w:cs="Calibri"/>
                <w:bCs/>
              </w:rPr>
              <w:t>V17</w:t>
            </w:r>
          </w:p>
        </w:tc>
        <w:tc>
          <w:tcPr>
            <w:tcW w:w="3686" w:type="dxa"/>
          </w:tcPr>
          <w:p w:rsidR="00AC5371" w:rsidRPr="00D36A3A" w:rsidRDefault="00E206A9" w:rsidP="00EA7E79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>
              <w:rPr>
                <w:rFonts w:ascii="Georgia" w:hAnsi="Georgia" w:cs="Calibri"/>
                <w:bCs/>
              </w:rPr>
              <w:t>Vurdere</w:t>
            </w:r>
            <w:r w:rsidR="00FC462C">
              <w:rPr>
                <w:rFonts w:ascii="Georgia" w:hAnsi="Georgia" w:cs="Calibri"/>
                <w:bCs/>
              </w:rPr>
              <w:t xml:space="preserve"> kriterie</w:t>
            </w:r>
            <w:r w:rsidR="00EA7E79">
              <w:rPr>
                <w:rFonts w:ascii="Georgia" w:hAnsi="Georgia" w:cs="Calibri"/>
                <w:bCs/>
              </w:rPr>
              <w:t>r</w:t>
            </w:r>
            <w:r w:rsidR="00FC462C">
              <w:rPr>
                <w:rFonts w:ascii="Georgia" w:hAnsi="Georgia" w:cs="Calibri"/>
                <w:bCs/>
              </w:rPr>
              <w:t xml:space="preserve"> samt krav til dokumentasjon</w:t>
            </w:r>
            <w:r w:rsidR="002457DA" w:rsidRPr="00D36A3A">
              <w:rPr>
                <w:rFonts w:ascii="Georgia" w:hAnsi="Georgia" w:cs="Calibri"/>
                <w:bCs/>
              </w:rPr>
              <w:t xml:space="preserve">. </w:t>
            </w:r>
          </w:p>
        </w:tc>
      </w:tr>
      <w:tr w:rsidR="00AC5371" w:rsidTr="00AC5371">
        <w:tc>
          <w:tcPr>
            <w:tcW w:w="3119" w:type="dxa"/>
          </w:tcPr>
          <w:p w:rsidR="00AC5371" w:rsidRPr="0022458B" w:rsidRDefault="00FA5AA9" w:rsidP="000B4AAB">
            <w:pPr>
              <w:pStyle w:val="Topptekst"/>
              <w:spacing w:before="4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2) </w:t>
            </w:r>
            <w:r w:rsidR="00AC5371">
              <w:rPr>
                <w:rFonts w:ascii="Georgia" w:hAnsi="Georgia"/>
              </w:rPr>
              <w:t>Gjennomgang og vurdering av innretningen på UiOs kvalitetssystem for utdanningsvirksomheten</w:t>
            </w:r>
          </w:p>
        </w:tc>
        <w:tc>
          <w:tcPr>
            <w:tcW w:w="3118" w:type="dxa"/>
          </w:tcPr>
          <w:p w:rsidR="00AC5371" w:rsidRPr="00D36A3A" w:rsidRDefault="00AE6D74" w:rsidP="000B4AAB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 w:rsidRPr="00D36A3A">
              <w:rPr>
                <w:rFonts w:ascii="Georgia" w:hAnsi="Georgia" w:cs="Calibri"/>
                <w:bCs/>
              </w:rPr>
              <w:t xml:space="preserve">Gjennomgang og høring </w:t>
            </w:r>
            <w:r w:rsidR="00F577FD" w:rsidRPr="00D36A3A">
              <w:rPr>
                <w:rFonts w:ascii="Georgia" w:hAnsi="Georgia" w:cs="Calibri"/>
                <w:bCs/>
              </w:rPr>
              <w:t xml:space="preserve">– oppstart </w:t>
            </w:r>
            <w:r w:rsidRPr="00D36A3A">
              <w:rPr>
                <w:rFonts w:ascii="Georgia" w:hAnsi="Georgia" w:cs="Calibri"/>
                <w:bCs/>
              </w:rPr>
              <w:t>V</w:t>
            </w:r>
            <w:r w:rsidR="00AC5371" w:rsidRPr="00D36A3A">
              <w:rPr>
                <w:rFonts w:ascii="Georgia" w:hAnsi="Georgia" w:cs="Calibri"/>
                <w:bCs/>
              </w:rPr>
              <w:t>17</w:t>
            </w:r>
          </w:p>
        </w:tc>
        <w:tc>
          <w:tcPr>
            <w:tcW w:w="3686" w:type="dxa"/>
          </w:tcPr>
          <w:p w:rsidR="00AC5371" w:rsidRPr="00D36A3A" w:rsidRDefault="00E206A9" w:rsidP="00CD28C6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>
              <w:rPr>
                <w:rFonts w:ascii="Georgia" w:hAnsi="Georgia" w:cs="Calibri"/>
                <w:bCs/>
              </w:rPr>
              <w:t xml:space="preserve">Vurdere om evalueringsverktøyene </w:t>
            </w:r>
            <w:r w:rsidR="00CD28C6">
              <w:rPr>
                <w:rFonts w:ascii="Georgia" w:hAnsi="Georgia" w:cs="Calibri"/>
                <w:bCs/>
              </w:rPr>
              <w:t xml:space="preserve">må </w:t>
            </w:r>
            <w:r>
              <w:rPr>
                <w:rFonts w:ascii="Georgia" w:hAnsi="Georgia" w:cs="Calibri"/>
                <w:bCs/>
              </w:rPr>
              <w:t xml:space="preserve">justeres. </w:t>
            </w:r>
          </w:p>
        </w:tc>
      </w:tr>
      <w:tr w:rsidR="00AE6D74" w:rsidTr="005914F8">
        <w:tc>
          <w:tcPr>
            <w:tcW w:w="3119" w:type="dxa"/>
          </w:tcPr>
          <w:p w:rsidR="00AE6D74" w:rsidRPr="005A7C49" w:rsidRDefault="00FA5AA9" w:rsidP="000B4AAB">
            <w:pPr>
              <w:pStyle w:val="Topptekst"/>
              <w:spacing w:before="4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3) </w:t>
            </w:r>
            <w:r w:rsidR="00AE6D74" w:rsidRPr="0022458B">
              <w:rPr>
                <w:rFonts w:ascii="Georgia" w:hAnsi="Georgia"/>
              </w:rPr>
              <w:t>Gjennomgang og vurdering av normal</w:t>
            </w:r>
            <w:r w:rsidR="00AE6D74" w:rsidRPr="0022458B">
              <w:rPr>
                <w:rFonts w:ascii="Georgia" w:hAnsi="Georgia"/>
              </w:rPr>
              <w:softHyphen/>
              <w:t>reglene om programrådenes ansvar</w:t>
            </w:r>
          </w:p>
        </w:tc>
        <w:tc>
          <w:tcPr>
            <w:tcW w:w="3118" w:type="dxa"/>
          </w:tcPr>
          <w:p w:rsidR="00AE6D74" w:rsidRPr="00D36A3A" w:rsidRDefault="00AE6D74" w:rsidP="000B4AAB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 w:rsidRPr="00D36A3A">
              <w:rPr>
                <w:rFonts w:ascii="Georgia" w:hAnsi="Georgia" w:cs="Calibri"/>
                <w:bCs/>
              </w:rPr>
              <w:t xml:space="preserve">Gjennomgang og høring </w:t>
            </w:r>
            <w:r w:rsidR="00F577FD" w:rsidRPr="00D36A3A">
              <w:rPr>
                <w:rFonts w:ascii="Georgia" w:hAnsi="Georgia" w:cs="Calibri"/>
                <w:bCs/>
              </w:rPr>
              <w:t xml:space="preserve">– oppstart </w:t>
            </w:r>
            <w:r w:rsidRPr="00D36A3A">
              <w:rPr>
                <w:rFonts w:ascii="Georgia" w:hAnsi="Georgia" w:cs="Calibri"/>
                <w:bCs/>
              </w:rPr>
              <w:t>H17</w:t>
            </w:r>
          </w:p>
        </w:tc>
        <w:tc>
          <w:tcPr>
            <w:tcW w:w="3686" w:type="dxa"/>
          </w:tcPr>
          <w:p w:rsidR="00AE6D74" w:rsidRPr="00D36A3A" w:rsidRDefault="00434C4E" w:rsidP="004F3B42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 w:rsidRPr="00D36A3A">
              <w:rPr>
                <w:rFonts w:ascii="Georgia" w:hAnsi="Georgia" w:cs="Calibri"/>
                <w:bCs/>
              </w:rPr>
              <w:t xml:space="preserve">Jf. også </w:t>
            </w:r>
            <w:proofErr w:type="spellStart"/>
            <w:r w:rsidR="00063AFF" w:rsidRPr="00D36A3A">
              <w:rPr>
                <w:rFonts w:ascii="Georgia" w:hAnsi="Georgia" w:cs="Calibri"/>
                <w:bCs/>
              </w:rPr>
              <w:t>kvalitets</w:t>
            </w:r>
            <w:r w:rsidR="00063AFF" w:rsidRPr="00D36A3A">
              <w:rPr>
                <w:rFonts w:ascii="Georgia" w:hAnsi="Georgia" w:cs="Calibri"/>
                <w:bCs/>
              </w:rPr>
              <w:softHyphen/>
              <w:t>meldingen</w:t>
            </w:r>
            <w:proofErr w:type="spellEnd"/>
            <w:r w:rsidR="009944A3" w:rsidRPr="00D36A3A">
              <w:rPr>
                <w:rFonts w:ascii="Georgia" w:hAnsi="Georgia" w:cs="Calibri"/>
                <w:bCs/>
              </w:rPr>
              <w:t>. Krever politisk vurdering</w:t>
            </w:r>
            <w:r w:rsidRPr="00D36A3A">
              <w:rPr>
                <w:rFonts w:ascii="Georgia" w:hAnsi="Georgia" w:cs="Calibri"/>
                <w:bCs/>
              </w:rPr>
              <w:t xml:space="preserve"> av </w:t>
            </w:r>
            <w:r w:rsidR="00AF3532" w:rsidRPr="00D36A3A">
              <w:rPr>
                <w:rFonts w:ascii="Georgia" w:hAnsi="Georgia" w:cs="Calibri"/>
                <w:bCs/>
              </w:rPr>
              <w:t xml:space="preserve">hvordan </w:t>
            </w:r>
            <w:r w:rsidR="004F3B42">
              <w:rPr>
                <w:rFonts w:ascii="Georgia" w:hAnsi="Georgia" w:cs="Calibri"/>
                <w:bCs/>
              </w:rPr>
              <w:t>studie</w:t>
            </w:r>
            <w:r w:rsidR="00BF0F21">
              <w:rPr>
                <w:rFonts w:ascii="Georgia" w:hAnsi="Georgia" w:cs="Calibri"/>
                <w:bCs/>
              </w:rPr>
              <w:softHyphen/>
            </w:r>
            <w:r w:rsidR="004F3B42">
              <w:rPr>
                <w:rFonts w:ascii="Georgia" w:hAnsi="Georgia" w:cs="Calibri"/>
                <w:bCs/>
              </w:rPr>
              <w:t>kvalitets</w:t>
            </w:r>
            <w:r w:rsidR="00AF3532" w:rsidRPr="00D36A3A">
              <w:rPr>
                <w:rFonts w:ascii="Georgia" w:hAnsi="Georgia" w:cs="Calibri"/>
                <w:bCs/>
              </w:rPr>
              <w:t>ansvar</w:t>
            </w:r>
            <w:r w:rsidR="004F3B42">
              <w:rPr>
                <w:rFonts w:ascii="Georgia" w:hAnsi="Georgia" w:cs="Calibri"/>
                <w:bCs/>
              </w:rPr>
              <w:t xml:space="preserve">et </w:t>
            </w:r>
            <w:r w:rsidR="00AF3532" w:rsidRPr="00D36A3A">
              <w:rPr>
                <w:rFonts w:ascii="Georgia" w:hAnsi="Georgia" w:cs="Calibri"/>
                <w:bCs/>
              </w:rPr>
              <w:t>formuleres</w:t>
            </w:r>
            <w:r w:rsidR="009944A3" w:rsidRPr="00D36A3A">
              <w:rPr>
                <w:rFonts w:ascii="Georgia" w:hAnsi="Georgia" w:cs="Calibri"/>
                <w:bCs/>
              </w:rPr>
              <w:t xml:space="preserve">.  </w:t>
            </w:r>
          </w:p>
        </w:tc>
      </w:tr>
      <w:tr w:rsidR="00D126B9" w:rsidTr="005914F8">
        <w:tc>
          <w:tcPr>
            <w:tcW w:w="3119" w:type="dxa"/>
          </w:tcPr>
          <w:p w:rsidR="00D126B9" w:rsidRPr="0022458B" w:rsidRDefault="00FA5AA9" w:rsidP="000B4AAB">
            <w:pPr>
              <w:pStyle w:val="Topptekst"/>
              <w:spacing w:before="4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4) </w:t>
            </w:r>
            <w:r w:rsidR="00D126B9">
              <w:rPr>
                <w:rFonts w:ascii="Georgia" w:hAnsi="Georgia"/>
              </w:rPr>
              <w:t>Vurdering av hvorvidt hvert enkelt studie</w:t>
            </w:r>
            <w:r w:rsidR="00D126B9">
              <w:rPr>
                <w:rFonts w:ascii="Georgia" w:hAnsi="Georgia"/>
              </w:rPr>
              <w:softHyphen/>
              <w:t xml:space="preserve">tilbud er i tråd med </w:t>
            </w:r>
            <w:proofErr w:type="spellStart"/>
            <w:r w:rsidR="00D126B9">
              <w:rPr>
                <w:rFonts w:ascii="Georgia" w:hAnsi="Georgia"/>
              </w:rPr>
              <w:t>forskriften</w:t>
            </w:r>
            <w:proofErr w:type="spellEnd"/>
          </w:p>
        </w:tc>
        <w:tc>
          <w:tcPr>
            <w:tcW w:w="3118" w:type="dxa"/>
          </w:tcPr>
          <w:p w:rsidR="00D126B9" w:rsidRPr="00D36A3A" w:rsidRDefault="007A6A6C" w:rsidP="000B4AAB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 w:rsidRPr="00D36A3A">
              <w:rPr>
                <w:rFonts w:ascii="Georgia" w:hAnsi="Georgia" w:cs="Calibri"/>
                <w:bCs/>
              </w:rPr>
              <w:t>Løpende</w:t>
            </w:r>
          </w:p>
        </w:tc>
        <w:tc>
          <w:tcPr>
            <w:tcW w:w="3686" w:type="dxa"/>
          </w:tcPr>
          <w:p w:rsidR="00D126B9" w:rsidRPr="00D36A3A" w:rsidRDefault="007A6A6C" w:rsidP="00C35516">
            <w:pPr>
              <w:pStyle w:val="Topptekst"/>
              <w:spacing w:before="40" w:after="120"/>
              <w:rPr>
                <w:rFonts w:ascii="Georgia" w:hAnsi="Georgia" w:cs="Calibri"/>
                <w:bCs/>
              </w:rPr>
            </w:pPr>
            <w:r w:rsidRPr="00D36A3A">
              <w:rPr>
                <w:rFonts w:ascii="Georgia" w:hAnsi="Georgia" w:cs="Calibri"/>
                <w:bCs/>
              </w:rPr>
              <w:t>Håndteres i ordinære prosesser</w:t>
            </w:r>
            <w:r w:rsidR="00B11384">
              <w:rPr>
                <w:rFonts w:ascii="Georgia" w:hAnsi="Georgia" w:cs="Calibri"/>
                <w:bCs/>
              </w:rPr>
              <w:t xml:space="preserve">: </w:t>
            </w:r>
            <w:r w:rsidRPr="00D36A3A">
              <w:rPr>
                <w:rFonts w:ascii="Georgia" w:hAnsi="Georgia" w:cs="Calibri"/>
                <w:bCs/>
              </w:rPr>
              <w:t xml:space="preserve">periodiske programevalueringer og </w:t>
            </w:r>
            <w:r w:rsidR="00C35516">
              <w:rPr>
                <w:rFonts w:ascii="Georgia" w:hAnsi="Georgia" w:cs="Calibri"/>
                <w:bCs/>
              </w:rPr>
              <w:t>jevnlig overvåking</w:t>
            </w:r>
            <w:r w:rsidRPr="00D36A3A">
              <w:rPr>
                <w:rFonts w:ascii="Georgia" w:hAnsi="Georgia" w:cs="Calibri"/>
                <w:bCs/>
              </w:rPr>
              <w:t xml:space="preserve"> av utdannings</w:t>
            </w:r>
            <w:r w:rsidR="00C35516">
              <w:rPr>
                <w:rFonts w:ascii="Georgia" w:hAnsi="Georgia" w:cs="Calibri"/>
                <w:bCs/>
              </w:rPr>
              <w:softHyphen/>
            </w:r>
            <w:r w:rsidRPr="00D36A3A">
              <w:rPr>
                <w:rFonts w:ascii="Georgia" w:hAnsi="Georgia" w:cs="Calibri"/>
                <w:bCs/>
              </w:rPr>
              <w:t>virksomheten</w:t>
            </w:r>
          </w:p>
        </w:tc>
      </w:tr>
    </w:tbl>
    <w:p w:rsidR="0020532B" w:rsidRPr="0020532B" w:rsidRDefault="0020532B" w:rsidP="0020532B">
      <w:pPr>
        <w:pStyle w:val="Topptekst"/>
        <w:spacing w:after="120"/>
        <w:rPr>
          <w:rFonts w:ascii="Georgia" w:hAnsi="Georgia" w:cs="Calibri"/>
          <w:sz w:val="8"/>
          <w:szCs w:val="8"/>
        </w:rPr>
      </w:pPr>
    </w:p>
    <w:p w:rsidR="005948AF" w:rsidRPr="005948AF" w:rsidRDefault="001A0C08" w:rsidP="00A72C7A">
      <w:pPr>
        <w:pStyle w:val="Topptekst"/>
        <w:spacing w:after="120"/>
        <w:rPr>
          <w:rFonts w:ascii="Georgia" w:hAnsi="Georgia" w:cs="Calibri"/>
        </w:rPr>
      </w:pPr>
      <w:r>
        <w:rPr>
          <w:rFonts w:ascii="Georgia" w:hAnsi="Georgia" w:cs="Calibri"/>
        </w:rPr>
        <w:lastRenderedPageBreak/>
        <w:t>AF vil holde i de tre punktene som krever institusjonell samordning, og u</w:t>
      </w:r>
      <w:r w:rsidR="005948AF" w:rsidRPr="005948AF">
        <w:rPr>
          <w:rFonts w:ascii="Georgia" w:hAnsi="Georgia" w:cs="Calibri"/>
        </w:rPr>
        <w:t xml:space="preserve">tdanningskomiteen </w:t>
      </w:r>
      <w:r w:rsidR="00A72C7A">
        <w:rPr>
          <w:rFonts w:ascii="Georgia" w:hAnsi="Georgia" w:cs="Calibri"/>
        </w:rPr>
        <w:t>vil få</w:t>
      </w:r>
      <w:r w:rsidR="005948AF" w:rsidRPr="005948AF">
        <w:rPr>
          <w:rFonts w:ascii="Georgia" w:hAnsi="Georgia" w:cs="Calibri"/>
        </w:rPr>
        <w:t xml:space="preserve"> saker til diskusjon </w:t>
      </w:r>
      <w:r w:rsidR="005948AF">
        <w:rPr>
          <w:rFonts w:ascii="Georgia" w:hAnsi="Georgia" w:cs="Calibri"/>
        </w:rPr>
        <w:t>enten i forkant eller etterkant av høring</w:t>
      </w:r>
      <w:r w:rsidR="009916ED">
        <w:rPr>
          <w:rFonts w:ascii="Georgia" w:hAnsi="Georgia" w:cs="Calibri"/>
        </w:rPr>
        <w:t>ene</w:t>
      </w:r>
      <w:r w:rsidR="005948AF" w:rsidRPr="005948AF">
        <w:rPr>
          <w:rFonts w:ascii="Georgia" w:hAnsi="Georgia" w:cs="Calibri"/>
        </w:rPr>
        <w:t xml:space="preserve">. </w:t>
      </w:r>
      <w:r>
        <w:rPr>
          <w:rFonts w:ascii="Georgia" w:hAnsi="Georgia" w:cs="Calibri"/>
        </w:rPr>
        <w:t xml:space="preserve">Det fjerde punktet legges det opp til at fakultetene håndterer selv. </w:t>
      </w:r>
    </w:p>
    <w:p w:rsidR="00A93D60" w:rsidRPr="00A93D60" w:rsidRDefault="00A93D60" w:rsidP="00A93D60">
      <w:pPr>
        <w:pStyle w:val="Topptekst"/>
        <w:tabs>
          <w:tab w:val="clear" w:pos="4536"/>
          <w:tab w:val="clear" w:pos="9072"/>
        </w:tabs>
        <w:spacing w:before="360"/>
        <w:rPr>
          <w:rFonts w:ascii="Georgia" w:hAnsi="Georgia" w:cs="Calibri"/>
          <w:b/>
        </w:rPr>
      </w:pPr>
      <w:r w:rsidRPr="00A93D60">
        <w:rPr>
          <w:rFonts w:ascii="Georgia" w:hAnsi="Georgia" w:cs="Calibri"/>
          <w:b/>
        </w:rPr>
        <w:t xml:space="preserve">Overgangstid </w:t>
      </w:r>
    </w:p>
    <w:p w:rsidR="00044684" w:rsidRDefault="00A93D60" w:rsidP="00A93D60">
      <w:pPr>
        <w:pStyle w:val="Topptekst"/>
        <w:spacing w:after="120"/>
        <w:rPr>
          <w:rFonts w:ascii="Georgia" w:hAnsi="Georgia" w:cs="Calibri"/>
        </w:rPr>
      </w:pPr>
      <w:r>
        <w:rPr>
          <w:rFonts w:ascii="Georgia" w:hAnsi="Georgia" w:cs="Calibri"/>
        </w:rPr>
        <w:t xml:space="preserve">AF legger til grunn at den nye </w:t>
      </w:r>
      <w:proofErr w:type="spellStart"/>
      <w:r>
        <w:rPr>
          <w:rFonts w:ascii="Georgia" w:hAnsi="Georgia" w:cs="Calibri"/>
        </w:rPr>
        <w:t>studietilsynsforskriften</w:t>
      </w:r>
      <w:proofErr w:type="spellEnd"/>
      <w:r>
        <w:rPr>
          <w:rFonts w:ascii="Georgia" w:hAnsi="Georgia" w:cs="Calibri"/>
        </w:rPr>
        <w:t xml:space="preserve"> i stor grad er en omarbeiding og tydeliggjøring av eksisterende regelverk, og at de nye kravene </w:t>
      </w:r>
      <w:r w:rsidR="00D126B9">
        <w:rPr>
          <w:rFonts w:ascii="Georgia" w:hAnsi="Georgia" w:cs="Calibri"/>
        </w:rPr>
        <w:t xml:space="preserve">derfor </w:t>
      </w:r>
      <w:r>
        <w:rPr>
          <w:rFonts w:ascii="Georgia" w:hAnsi="Georgia" w:cs="Calibri"/>
        </w:rPr>
        <w:t xml:space="preserve">i stor grad er oppfylt. </w:t>
      </w:r>
      <w:r w:rsidR="00044684">
        <w:rPr>
          <w:rFonts w:ascii="Georgia" w:hAnsi="Georgia" w:cs="Calibri"/>
        </w:rPr>
        <w:t xml:space="preserve">Det er </w:t>
      </w:r>
      <w:r w:rsidR="00921F06">
        <w:rPr>
          <w:rFonts w:ascii="Georgia" w:hAnsi="Georgia" w:cs="Calibri"/>
        </w:rPr>
        <w:t>imidlertid</w:t>
      </w:r>
      <w:r w:rsidR="00BA5CF2">
        <w:rPr>
          <w:rFonts w:ascii="Georgia" w:hAnsi="Georgia" w:cs="Calibri"/>
        </w:rPr>
        <w:t xml:space="preserve"> identifisert </w:t>
      </w:r>
      <w:r w:rsidR="00044684">
        <w:rPr>
          <w:rFonts w:ascii="Georgia" w:hAnsi="Georgia" w:cs="Calibri"/>
        </w:rPr>
        <w:t xml:space="preserve">noen konkrete punkter som må vurderes og trolig endres, for eksempel spørsmålet om ekstern representasjon i de periodiske programevalueringene og kravene til dokumentasjon på ulike stadier i etableringen av nye studieprogram. </w:t>
      </w:r>
    </w:p>
    <w:p w:rsidR="00A93D60" w:rsidRDefault="00A93D60" w:rsidP="00A93D60">
      <w:pPr>
        <w:pStyle w:val="Topptekst"/>
        <w:spacing w:after="120"/>
        <w:rPr>
          <w:rFonts w:ascii="Georgia" w:hAnsi="Georgia" w:cs="Calibri"/>
        </w:rPr>
      </w:pPr>
      <w:r>
        <w:rPr>
          <w:rFonts w:ascii="Georgia" w:hAnsi="Georgia" w:cs="Calibri"/>
        </w:rPr>
        <w:t>Der</w:t>
      </w:r>
      <w:r w:rsidR="00D126B9">
        <w:rPr>
          <w:rFonts w:ascii="Georgia" w:hAnsi="Georgia" w:cs="Calibri"/>
        </w:rPr>
        <w:t xml:space="preserve"> </w:t>
      </w:r>
      <w:r>
        <w:rPr>
          <w:rFonts w:ascii="Georgia" w:hAnsi="Georgia" w:cs="Calibri"/>
        </w:rPr>
        <w:t xml:space="preserve">den nye </w:t>
      </w:r>
      <w:proofErr w:type="spellStart"/>
      <w:r>
        <w:rPr>
          <w:rFonts w:ascii="Georgia" w:hAnsi="Georgia" w:cs="Calibri"/>
        </w:rPr>
        <w:t>forskriften</w:t>
      </w:r>
      <w:proofErr w:type="spellEnd"/>
      <w:r>
        <w:rPr>
          <w:rFonts w:ascii="Georgia" w:hAnsi="Georgia" w:cs="Calibri"/>
        </w:rPr>
        <w:t xml:space="preserve"> innebærer behov for justeringer hos UiO, sier NOKUT følgende om overgangstid: </w:t>
      </w:r>
    </w:p>
    <w:p w:rsidR="00A93D60" w:rsidRDefault="00A93D60" w:rsidP="00A93D60">
      <w:pPr>
        <w:pStyle w:val="Topptekst"/>
        <w:spacing w:after="120"/>
        <w:rPr>
          <w:rFonts w:ascii="Georgia" w:hAnsi="Georgia" w:cs="Calibri"/>
          <w:i/>
        </w:rPr>
      </w:pPr>
      <w:r w:rsidRPr="00A93D60">
        <w:rPr>
          <w:rFonts w:ascii="Georgia" w:hAnsi="Georgia" w:cs="Calibri"/>
          <w:i/>
        </w:rPr>
        <w:t>«Eksisterende universiteter og høyskoler skal oppfylle nye standarder og kriterier for institusjonsakkreditering for henholdsvis høyskole, vitenskapelig høyskole og universitet innen 31. desember 2018. Akkrediterte studietilbud skal oppfylle kravene til akkreditering i ny forskrift innen 31. desember 2018. Institusjoner som har fått sitt system for kvalitetssikring av utdanningen godkjent av NOKUT, anses for å oppfylle kravene i kapittel 4 inntil tilsyn med det systematiske kvalitetsarbeidet er gjennomført.»</w:t>
      </w:r>
    </w:p>
    <w:p w:rsidR="0050303B" w:rsidRPr="0050303B" w:rsidRDefault="0050303B" w:rsidP="00A93D60">
      <w:pPr>
        <w:pStyle w:val="Topptekst"/>
        <w:spacing w:after="120"/>
        <w:rPr>
          <w:rFonts w:ascii="Georgia" w:hAnsi="Georgia" w:cs="Calibri"/>
        </w:rPr>
      </w:pPr>
      <w:r>
        <w:rPr>
          <w:rFonts w:ascii="Georgia" w:hAnsi="Georgia" w:cs="Calibri"/>
        </w:rPr>
        <w:t xml:space="preserve">AF legger videre til grunn at UiOs viktigste oppfølgingen av de nye reglene vil være gjennomgangen av rutiner for programetablering, kvalitetssystemet og programrådenes mandat. Når disse dokumentene er vurdert i henhold til det nye regelverket og eventuelle oppdateringer er utført, skal de nye kravene i stor grad bli tatt hånd om av UiOs eksisterende prosesser. </w:t>
      </w: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155652" w:rsidRDefault="00155652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6D0ED7" w:rsidRDefault="006D0ED7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333539" w:rsidRDefault="00333539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333539" w:rsidRDefault="00333539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333539" w:rsidRDefault="00333539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333539" w:rsidRDefault="00333539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333539" w:rsidRDefault="00333539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333539" w:rsidRDefault="00333539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24691E" w:rsidRDefault="0024691E" w:rsidP="006D0ED7">
      <w:pPr>
        <w:pStyle w:val="Topptekst"/>
        <w:spacing w:before="40"/>
        <w:rPr>
          <w:rFonts w:ascii="Georgia" w:hAnsi="Georgia" w:cs="Calibri"/>
          <w:bCs/>
        </w:rPr>
      </w:pPr>
    </w:p>
    <w:p w:rsidR="000278DF" w:rsidRPr="002D13D4" w:rsidRDefault="0084353A" w:rsidP="002D13D4">
      <w:pPr>
        <w:pStyle w:val="Topptekst"/>
        <w:pBdr>
          <w:top w:val="single" w:sz="4" w:space="1" w:color="auto"/>
        </w:pBdr>
        <w:tabs>
          <w:tab w:val="clear" w:pos="4536"/>
          <w:tab w:val="clear" w:pos="9072"/>
        </w:tabs>
        <w:spacing w:before="360"/>
        <w:rPr>
          <w:rFonts w:ascii="Georgia" w:hAnsi="Georgia" w:cs="Calibri"/>
          <w:b/>
        </w:rPr>
      </w:pPr>
      <w:r w:rsidRPr="002D13D4">
        <w:rPr>
          <w:rFonts w:ascii="Georgia" w:hAnsi="Georgia" w:cs="Calibri"/>
          <w:b/>
        </w:rPr>
        <w:t>Vedlegg:</w:t>
      </w:r>
    </w:p>
    <w:p w:rsidR="001C5BA3" w:rsidRDefault="006D0ED7" w:rsidP="00063C1D">
      <w:pPr>
        <w:pStyle w:val="Topptekst"/>
        <w:numPr>
          <w:ilvl w:val="0"/>
          <w:numId w:val="23"/>
        </w:numPr>
        <w:spacing w:before="40"/>
        <w:rPr>
          <w:rFonts w:ascii="Georgia" w:hAnsi="Georgia" w:cs="Calibri"/>
          <w:bCs/>
        </w:rPr>
      </w:pPr>
      <w:proofErr w:type="spellStart"/>
      <w:r>
        <w:rPr>
          <w:rFonts w:ascii="Georgia" w:hAnsi="Georgia" w:cs="Calibri"/>
          <w:bCs/>
        </w:rPr>
        <w:t>NOKUTs</w:t>
      </w:r>
      <w:proofErr w:type="spellEnd"/>
      <w:r>
        <w:rPr>
          <w:rFonts w:ascii="Georgia" w:hAnsi="Georgia" w:cs="Calibri"/>
          <w:bCs/>
        </w:rPr>
        <w:t xml:space="preserve"> studietilsynsforskrift med merknader</w:t>
      </w:r>
    </w:p>
    <w:p w:rsidR="006D0ED7" w:rsidRDefault="006D0ED7" w:rsidP="00063C1D">
      <w:pPr>
        <w:pStyle w:val="Topptekst"/>
        <w:numPr>
          <w:ilvl w:val="0"/>
          <w:numId w:val="23"/>
        </w:numPr>
        <w:spacing w:before="40"/>
        <w:rPr>
          <w:rFonts w:ascii="Georgia" w:hAnsi="Georgia" w:cs="Calibri"/>
          <w:bCs/>
        </w:rPr>
      </w:pPr>
      <w:proofErr w:type="spellStart"/>
      <w:r>
        <w:rPr>
          <w:rFonts w:ascii="Georgia" w:hAnsi="Georgia" w:cs="Calibri"/>
          <w:bCs/>
        </w:rPr>
        <w:t>NOKUTs</w:t>
      </w:r>
      <w:proofErr w:type="spellEnd"/>
      <w:r>
        <w:rPr>
          <w:rFonts w:ascii="Georgia" w:hAnsi="Georgia" w:cs="Calibri"/>
          <w:bCs/>
        </w:rPr>
        <w:t xml:space="preserve"> orientering om ny studietilsynsforskrift</w:t>
      </w:r>
    </w:p>
    <w:p w:rsidR="006D0ED7" w:rsidRDefault="006D0ED7" w:rsidP="00063C1D">
      <w:pPr>
        <w:pStyle w:val="Topptekst"/>
        <w:numPr>
          <w:ilvl w:val="0"/>
          <w:numId w:val="2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KDs rundskriv om ny studiekvalitetsforskrift</w:t>
      </w:r>
    </w:p>
    <w:p w:rsidR="006D0ED7" w:rsidRDefault="006D0ED7" w:rsidP="00063C1D">
      <w:pPr>
        <w:pStyle w:val="Topptekst"/>
        <w:numPr>
          <w:ilvl w:val="0"/>
          <w:numId w:val="2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KDs endringsforskrift til studiekvalitetsforskriften</w:t>
      </w:r>
    </w:p>
    <w:p w:rsidR="004D375C" w:rsidRPr="008A2899" w:rsidRDefault="006D0ED7" w:rsidP="004D375C">
      <w:pPr>
        <w:pStyle w:val="Topptekst"/>
        <w:numPr>
          <w:ilvl w:val="0"/>
          <w:numId w:val="2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KDs merknader til studiekvalitetsforskriften</w:t>
      </w:r>
    </w:p>
    <w:sectPr w:rsidR="004D375C" w:rsidRPr="008A2899" w:rsidSect="007A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6C" w:rsidRDefault="0012076C" w:rsidP="006F2626">
      <w:pPr>
        <w:spacing w:after="0" w:line="240" w:lineRule="auto"/>
      </w:pPr>
      <w:r>
        <w:separator/>
      </w:r>
    </w:p>
  </w:endnote>
  <w:endnote w:type="continuationSeparator" w:id="0">
    <w:p w:rsidR="0012076C" w:rsidRDefault="0012076C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C" w:rsidRDefault="0012076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C" w:rsidRPr="004416D1" w:rsidRDefault="0012076C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12076C" w:rsidRPr="00296BD0" w:rsidTr="006F2385">
      <w:trPr>
        <w:trHeight w:hRule="exact" w:val="1219"/>
      </w:trPr>
      <w:tc>
        <w:tcPr>
          <w:tcW w:w="8221" w:type="dxa"/>
        </w:tcPr>
        <w:p w:rsidR="0012076C" w:rsidRPr="00296BD0" w:rsidRDefault="0012076C" w:rsidP="000E150F">
          <w:pPr>
            <w:pStyle w:val="Topptekst"/>
            <w:tabs>
              <w:tab w:val="clear" w:pos="4536"/>
              <w:tab w:val="clear" w:pos="9072"/>
            </w:tabs>
            <w:spacing w:before="40"/>
          </w:pPr>
        </w:p>
      </w:tc>
    </w:tr>
  </w:tbl>
  <w:p w:rsidR="0012076C" w:rsidRPr="00296BD0" w:rsidRDefault="0012076C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59A72BE7" wp14:editId="7D4C3433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6C" w:rsidRDefault="0012076C" w:rsidP="006F2626">
      <w:pPr>
        <w:spacing w:after="0" w:line="240" w:lineRule="auto"/>
      </w:pPr>
      <w:r>
        <w:separator/>
      </w:r>
    </w:p>
  </w:footnote>
  <w:footnote w:type="continuationSeparator" w:id="0">
    <w:p w:rsidR="0012076C" w:rsidRDefault="0012076C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C" w:rsidRDefault="0012076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C" w:rsidRPr="00AC4272" w:rsidRDefault="0012076C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7BCCEB0E" wp14:editId="7F627656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BE6EF9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12076C" w:rsidRPr="00CB1F83" w:rsidTr="00C70BC3">
      <w:tc>
        <w:tcPr>
          <w:tcW w:w="7791" w:type="dxa"/>
        </w:tcPr>
        <w:p w:rsidR="0012076C" w:rsidRPr="00A6739A" w:rsidRDefault="0012076C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7F62C3FD" wp14:editId="0B05BFC4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12076C" w:rsidRPr="00A6739A" w:rsidRDefault="0012076C" w:rsidP="00C70BC3">
          <w:pPr>
            <w:pStyle w:val="Topptekstlinje1"/>
            <w:jc w:val="right"/>
          </w:pPr>
          <w:r>
            <w:t>Notat</w:t>
          </w:r>
        </w:p>
      </w:tc>
    </w:tr>
    <w:tr w:rsidR="0012076C" w:rsidTr="005F6C42">
      <w:tc>
        <w:tcPr>
          <w:tcW w:w="8890" w:type="dxa"/>
          <w:gridSpan w:val="2"/>
        </w:tcPr>
        <w:p w:rsidR="0012076C" w:rsidRDefault="0012076C" w:rsidP="00FB462F">
          <w:pPr>
            <w:pStyle w:val="Topptekstlinje2"/>
          </w:pPr>
        </w:p>
      </w:tc>
    </w:tr>
  </w:tbl>
  <w:p w:rsidR="0012076C" w:rsidRDefault="0012076C" w:rsidP="00442F10">
    <w:pPr>
      <w:pStyle w:val="Topptekst"/>
      <w:ind w:left="964"/>
      <w:rPr>
        <w:rFonts w:ascii="Georgia" w:hAnsi="Georgia"/>
      </w:rPr>
    </w:pPr>
  </w:p>
  <w:p w:rsidR="0012076C" w:rsidRPr="00AA7420" w:rsidRDefault="0012076C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769A899B" wp14:editId="219E037C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45F86F68" wp14:editId="66D6CDEF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D0"/>
    <w:multiLevelType w:val="hybridMultilevel"/>
    <w:tmpl w:val="D674B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B6674"/>
    <w:multiLevelType w:val="hybridMultilevel"/>
    <w:tmpl w:val="15E8A4DA"/>
    <w:lvl w:ilvl="0" w:tplc="461862D6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A2853"/>
    <w:multiLevelType w:val="hybridMultilevel"/>
    <w:tmpl w:val="A620C8F6"/>
    <w:lvl w:ilvl="0" w:tplc="BB6E20C6">
      <w:start w:val="10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6441"/>
    <w:multiLevelType w:val="hybridMultilevel"/>
    <w:tmpl w:val="F460915A"/>
    <w:lvl w:ilvl="0" w:tplc="C0BEBCB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821175"/>
    <w:multiLevelType w:val="hybridMultilevel"/>
    <w:tmpl w:val="E27E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5733E"/>
    <w:multiLevelType w:val="hybridMultilevel"/>
    <w:tmpl w:val="A6D00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C327F"/>
    <w:multiLevelType w:val="hybridMultilevel"/>
    <w:tmpl w:val="E2C67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D52CD3"/>
    <w:multiLevelType w:val="hybridMultilevel"/>
    <w:tmpl w:val="AB5C599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507DA"/>
    <w:multiLevelType w:val="hybridMultilevel"/>
    <w:tmpl w:val="E7D44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7765C"/>
    <w:multiLevelType w:val="hybridMultilevel"/>
    <w:tmpl w:val="CEA2A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90674"/>
    <w:multiLevelType w:val="hybridMultilevel"/>
    <w:tmpl w:val="6E4CF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6"/>
  </w:num>
  <w:num w:numId="5">
    <w:abstractNumId w:val="21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9"/>
  </w:num>
  <w:num w:numId="11">
    <w:abstractNumId w:val="11"/>
  </w:num>
  <w:num w:numId="12">
    <w:abstractNumId w:val="22"/>
  </w:num>
  <w:num w:numId="13">
    <w:abstractNumId w:val="13"/>
  </w:num>
  <w:num w:numId="14">
    <w:abstractNumId w:val="14"/>
  </w:num>
  <w:num w:numId="15">
    <w:abstractNumId w:val="23"/>
  </w:num>
  <w:num w:numId="16">
    <w:abstractNumId w:val="25"/>
  </w:num>
  <w:num w:numId="17">
    <w:abstractNumId w:val="12"/>
  </w:num>
  <w:num w:numId="18">
    <w:abstractNumId w:val="8"/>
  </w:num>
  <w:num w:numId="19">
    <w:abstractNumId w:val="16"/>
  </w:num>
  <w:num w:numId="20">
    <w:abstractNumId w:val="15"/>
  </w:num>
  <w:num w:numId="21">
    <w:abstractNumId w:val="4"/>
  </w:num>
  <w:num w:numId="22">
    <w:abstractNumId w:val="0"/>
  </w:num>
  <w:num w:numId="23">
    <w:abstractNumId w:val="18"/>
  </w:num>
  <w:num w:numId="24">
    <w:abstractNumId w:val="24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776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2A2B"/>
    <w:rsid w:val="00024567"/>
    <w:rsid w:val="00025304"/>
    <w:rsid w:val="000278DF"/>
    <w:rsid w:val="00032347"/>
    <w:rsid w:val="00044684"/>
    <w:rsid w:val="00051671"/>
    <w:rsid w:val="000532F9"/>
    <w:rsid w:val="00056B4A"/>
    <w:rsid w:val="00063AFF"/>
    <w:rsid w:val="00063C1D"/>
    <w:rsid w:val="000711C4"/>
    <w:rsid w:val="00072CB0"/>
    <w:rsid w:val="0007315A"/>
    <w:rsid w:val="0008119F"/>
    <w:rsid w:val="0008332E"/>
    <w:rsid w:val="000838D4"/>
    <w:rsid w:val="0009698E"/>
    <w:rsid w:val="000B4AAB"/>
    <w:rsid w:val="000C5602"/>
    <w:rsid w:val="000C5ED5"/>
    <w:rsid w:val="000D7369"/>
    <w:rsid w:val="000E150F"/>
    <w:rsid w:val="000E66F6"/>
    <w:rsid w:val="00101802"/>
    <w:rsid w:val="0012076C"/>
    <w:rsid w:val="00121A68"/>
    <w:rsid w:val="00147EC9"/>
    <w:rsid w:val="00155652"/>
    <w:rsid w:val="0016697A"/>
    <w:rsid w:val="00170244"/>
    <w:rsid w:val="001722C3"/>
    <w:rsid w:val="00174BF1"/>
    <w:rsid w:val="00191B74"/>
    <w:rsid w:val="001A0C08"/>
    <w:rsid w:val="001A43FF"/>
    <w:rsid w:val="001A63F3"/>
    <w:rsid w:val="001B389C"/>
    <w:rsid w:val="001C3144"/>
    <w:rsid w:val="001C42F0"/>
    <w:rsid w:val="001C53D1"/>
    <w:rsid w:val="001C5BA3"/>
    <w:rsid w:val="001D1DF2"/>
    <w:rsid w:val="001D32AD"/>
    <w:rsid w:val="001E13CC"/>
    <w:rsid w:val="001E1FD6"/>
    <w:rsid w:val="001F2CDA"/>
    <w:rsid w:val="00201362"/>
    <w:rsid w:val="00202A26"/>
    <w:rsid w:val="00203485"/>
    <w:rsid w:val="00204F25"/>
    <w:rsid w:val="0020532B"/>
    <w:rsid w:val="00205D47"/>
    <w:rsid w:val="0020706A"/>
    <w:rsid w:val="002308E6"/>
    <w:rsid w:val="00230B69"/>
    <w:rsid w:val="00235A17"/>
    <w:rsid w:val="00241573"/>
    <w:rsid w:val="002426B5"/>
    <w:rsid w:val="00243B3D"/>
    <w:rsid w:val="00243C57"/>
    <w:rsid w:val="002457DA"/>
    <w:rsid w:val="00245C77"/>
    <w:rsid w:val="0024691E"/>
    <w:rsid w:val="002535E6"/>
    <w:rsid w:val="00261A25"/>
    <w:rsid w:val="00264B60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D13D4"/>
    <w:rsid w:val="002D3F31"/>
    <w:rsid w:val="002E52AC"/>
    <w:rsid w:val="002E5380"/>
    <w:rsid w:val="002F148C"/>
    <w:rsid w:val="002F4F99"/>
    <w:rsid w:val="003157B3"/>
    <w:rsid w:val="0031741E"/>
    <w:rsid w:val="003256EB"/>
    <w:rsid w:val="0032641E"/>
    <w:rsid w:val="00326DE7"/>
    <w:rsid w:val="00332A21"/>
    <w:rsid w:val="00333539"/>
    <w:rsid w:val="0034097E"/>
    <w:rsid w:val="00340EA5"/>
    <w:rsid w:val="003511B2"/>
    <w:rsid w:val="00381384"/>
    <w:rsid w:val="00381B02"/>
    <w:rsid w:val="00384944"/>
    <w:rsid w:val="00385FD5"/>
    <w:rsid w:val="00386070"/>
    <w:rsid w:val="003A7014"/>
    <w:rsid w:val="003A733F"/>
    <w:rsid w:val="003B20B6"/>
    <w:rsid w:val="003B4B8A"/>
    <w:rsid w:val="003C4C4D"/>
    <w:rsid w:val="004008F0"/>
    <w:rsid w:val="00412561"/>
    <w:rsid w:val="004213D6"/>
    <w:rsid w:val="00422001"/>
    <w:rsid w:val="00424B38"/>
    <w:rsid w:val="0042728A"/>
    <w:rsid w:val="00427AA9"/>
    <w:rsid w:val="004300BF"/>
    <w:rsid w:val="00432910"/>
    <w:rsid w:val="004335DB"/>
    <w:rsid w:val="00434C4E"/>
    <w:rsid w:val="0043693B"/>
    <w:rsid w:val="00440FEC"/>
    <w:rsid w:val="004416D1"/>
    <w:rsid w:val="00442F10"/>
    <w:rsid w:val="00460213"/>
    <w:rsid w:val="00462DC9"/>
    <w:rsid w:val="00463CA3"/>
    <w:rsid w:val="00471DAC"/>
    <w:rsid w:val="00472B98"/>
    <w:rsid w:val="00477193"/>
    <w:rsid w:val="00480274"/>
    <w:rsid w:val="00483FE9"/>
    <w:rsid w:val="00485ABD"/>
    <w:rsid w:val="0049282A"/>
    <w:rsid w:val="004938B7"/>
    <w:rsid w:val="004A1052"/>
    <w:rsid w:val="004A2CF1"/>
    <w:rsid w:val="004A7739"/>
    <w:rsid w:val="004B23DA"/>
    <w:rsid w:val="004B6046"/>
    <w:rsid w:val="004D113B"/>
    <w:rsid w:val="004D375C"/>
    <w:rsid w:val="004D63A6"/>
    <w:rsid w:val="004D63C1"/>
    <w:rsid w:val="004E10D2"/>
    <w:rsid w:val="004E1839"/>
    <w:rsid w:val="004E4A2A"/>
    <w:rsid w:val="004E5E1E"/>
    <w:rsid w:val="004E69B4"/>
    <w:rsid w:val="004F3B42"/>
    <w:rsid w:val="004F44DB"/>
    <w:rsid w:val="0050303B"/>
    <w:rsid w:val="00503DE0"/>
    <w:rsid w:val="00507BAE"/>
    <w:rsid w:val="0051239B"/>
    <w:rsid w:val="00520638"/>
    <w:rsid w:val="0053482F"/>
    <w:rsid w:val="0054167C"/>
    <w:rsid w:val="005529C0"/>
    <w:rsid w:val="00554E50"/>
    <w:rsid w:val="00555487"/>
    <w:rsid w:val="00556ECF"/>
    <w:rsid w:val="00562BE9"/>
    <w:rsid w:val="005669BB"/>
    <w:rsid w:val="00574517"/>
    <w:rsid w:val="005747FB"/>
    <w:rsid w:val="005775EB"/>
    <w:rsid w:val="00582B29"/>
    <w:rsid w:val="005948AF"/>
    <w:rsid w:val="00594910"/>
    <w:rsid w:val="005A45D4"/>
    <w:rsid w:val="005A59D1"/>
    <w:rsid w:val="005A7C49"/>
    <w:rsid w:val="005B0837"/>
    <w:rsid w:val="005B5887"/>
    <w:rsid w:val="005D28E7"/>
    <w:rsid w:val="005D29D9"/>
    <w:rsid w:val="005E0D18"/>
    <w:rsid w:val="005F24A8"/>
    <w:rsid w:val="005F6C42"/>
    <w:rsid w:val="00601F3F"/>
    <w:rsid w:val="00605067"/>
    <w:rsid w:val="00607EC6"/>
    <w:rsid w:val="00620CE8"/>
    <w:rsid w:val="00621852"/>
    <w:rsid w:val="00624A1D"/>
    <w:rsid w:val="006263AA"/>
    <w:rsid w:val="00630C2C"/>
    <w:rsid w:val="006349DB"/>
    <w:rsid w:val="00637134"/>
    <w:rsid w:val="00646C8D"/>
    <w:rsid w:val="006513AB"/>
    <w:rsid w:val="00652647"/>
    <w:rsid w:val="0066273F"/>
    <w:rsid w:val="006750E1"/>
    <w:rsid w:val="006764CB"/>
    <w:rsid w:val="00693892"/>
    <w:rsid w:val="0069792F"/>
    <w:rsid w:val="006B2A25"/>
    <w:rsid w:val="006C0047"/>
    <w:rsid w:val="006C4552"/>
    <w:rsid w:val="006D0ED7"/>
    <w:rsid w:val="006F2385"/>
    <w:rsid w:val="006F2626"/>
    <w:rsid w:val="006F5413"/>
    <w:rsid w:val="006F5A5C"/>
    <w:rsid w:val="006F5DDA"/>
    <w:rsid w:val="00707411"/>
    <w:rsid w:val="0071173F"/>
    <w:rsid w:val="00713FEA"/>
    <w:rsid w:val="007165D3"/>
    <w:rsid w:val="0072108B"/>
    <w:rsid w:val="007227B2"/>
    <w:rsid w:val="007322A0"/>
    <w:rsid w:val="007377E6"/>
    <w:rsid w:val="00737E2C"/>
    <w:rsid w:val="0074504A"/>
    <w:rsid w:val="00751529"/>
    <w:rsid w:val="00754934"/>
    <w:rsid w:val="00760CF7"/>
    <w:rsid w:val="00762357"/>
    <w:rsid w:val="00762E07"/>
    <w:rsid w:val="0076588D"/>
    <w:rsid w:val="00783D0C"/>
    <w:rsid w:val="007A0C29"/>
    <w:rsid w:val="007A1956"/>
    <w:rsid w:val="007A362D"/>
    <w:rsid w:val="007A5E67"/>
    <w:rsid w:val="007A6A6C"/>
    <w:rsid w:val="007B2575"/>
    <w:rsid w:val="007B4612"/>
    <w:rsid w:val="007C0721"/>
    <w:rsid w:val="007E1E3E"/>
    <w:rsid w:val="007E4DBD"/>
    <w:rsid w:val="007E5442"/>
    <w:rsid w:val="007F011F"/>
    <w:rsid w:val="007F1A02"/>
    <w:rsid w:val="007F240E"/>
    <w:rsid w:val="00817830"/>
    <w:rsid w:val="00824F21"/>
    <w:rsid w:val="00836510"/>
    <w:rsid w:val="0084353A"/>
    <w:rsid w:val="00844D28"/>
    <w:rsid w:val="00851BF9"/>
    <w:rsid w:val="00856A20"/>
    <w:rsid w:val="008766DC"/>
    <w:rsid w:val="00881DF3"/>
    <w:rsid w:val="00883A2A"/>
    <w:rsid w:val="008912B6"/>
    <w:rsid w:val="008A260D"/>
    <w:rsid w:val="008A2899"/>
    <w:rsid w:val="008A6AA7"/>
    <w:rsid w:val="008B13CE"/>
    <w:rsid w:val="008B2639"/>
    <w:rsid w:val="008C43B7"/>
    <w:rsid w:val="008D11F2"/>
    <w:rsid w:val="008D4F3B"/>
    <w:rsid w:val="008D547F"/>
    <w:rsid w:val="008D588F"/>
    <w:rsid w:val="00900188"/>
    <w:rsid w:val="009044CD"/>
    <w:rsid w:val="00921DBC"/>
    <w:rsid w:val="00921F06"/>
    <w:rsid w:val="00931C69"/>
    <w:rsid w:val="00932FA4"/>
    <w:rsid w:val="009471ED"/>
    <w:rsid w:val="0095053A"/>
    <w:rsid w:val="0096155B"/>
    <w:rsid w:val="00962D27"/>
    <w:rsid w:val="00982A88"/>
    <w:rsid w:val="00983DD2"/>
    <w:rsid w:val="00985D9C"/>
    <w:rsid w:val="009916ED"/>
    <w:rsid w:val="009944A3"/>
    <w:rsid w:val="009A2881"/>
    <w:rsid w:val="009A38F8"/>
    <w:rsid w:val="009A6325"/>
    <w:rsid w:val="009A702C"/>
    <w:rsid w:val="009B42F8"/>
    <w:rsid w:val="009C0A86"/>
    <w:rsid w:val="009D4C81"/>
    <w:rsid w:val="009E7795"/>
    <w:rsid w:val="009F214D"/>
    <w:rsid w:val="00A05A0A"/>
    <w:rsid w:val="00A07252"/>
    <w:rsid w:val="00A201B4"/>
    <w:rsid w:val="00A203E8"/>
    <w:rsid w:val="00A2381F"/>
    <w:rsid w:val="00A26F5B"/>
    <w:rsid w:val="00A40D47"/>
    <w:rsid w:val="00A4466F"/>
    <w:rsid w:val="00A46423"/>
    <w:rsid w:val="00A62B82"/>
    <w:rsid w:val="00A6739A"/>
    <w:rsid w:val="00A72C7A"/>
    <w:rsid w:val="00A7494C"/>
    <w:rsid w:val="00A83BEE"/>
    <w:rsid w:val="00A86352"/>
    <w:rsid w:val="00A90307"/>
    <w:rsid w:val="00A93757"/>
    <w:rsid w:val="00A93D60"/>
    <w:rsid w:val="00AA33F7"/>
    <w:rsid w:val="00AA7420"/>
    <w:rsid w:val="00AB27CF"/>
    <w:rsid w:val="00AB3D6D"/>
    <w:rsid w:val="00AB4890"/>
    <w:rsid w:val="00AC4272"/>
    <w:rsid w:val="00AC4CE4"/>
    <w:rsid w:val="00AC5371"/>
    <w:rsid w:val="00AD0810"/>
    <w:rsid w:val="00AD1035"/>
    <w:rsid w:val="00AD341F"/>
    <w:rsid w:val="00AD419F"/>
    <w:rsid w:val="00AE46FF"/>
    <w:rsid w:val="00AE6604"/>
    <w:rsid w:val="00AE6D74"/>
    <w:rsid w:val="00AF3532"/>
    <w:rsid w:val="00AF4549"/>
    <w:rsid w:val="00B11384"/>
    <w:rsid w:val="00B319F7"/>
    <w:rsid w:val="00B43027"/>
    <w:rsid w:val="00B57FE4"/>
    <w:rsid w:val="00B74C8D"/>
    <w:rsid w:val="00B74EE1"/>
    <w:rsid w:val="00B77917"/>
    <w:rsid w:val="00B80853"/>
    <w:rsid w:val="00B93ADD"/>
    <w:rsid w:val="00BA5CF2"/>
    <w:rsid w:val="00BB5CDD"/>
    <w:rsid w:val="00BC3E29"/>
    <w:rsid w:val="00BD0CFD"/>
    <w:rsid w:val="00BE2551"/>
    <w:rsid w:val="00BE2E77"/>
    <w:rsid w:val="00BE6EF9"/>
    <w:rsid w:val="00BF0F21"/>
    <w:rsid w:val="00C11BC9"/>
    <w:rsid w:val="00C1454B"/>
    <w:rsid w:val="00C1524A"/>
    <w:rsid w:val="00C23CF2"/>
    <w:rsid w:val="00C247D6"/>
    <w:rsid w:val="00C35516"/>
    <w:rsid w:val="00C35F14"/>
    <w:rsid w:val="00C37D1F"/>
    <w:rsid w:val="00C42D5D"/>
    <w:rsid w:val="00C456E0"/>
    <w:rsid w:val="00C551EB"/>
    <w:rsid w:val="00C5534E"/>
    <w:rsid w:val="00C70B56"/>
    <w:rsid w:val="00C70BC3"/>
    <w:rsid w:val="00C73153"/>
    <w:rsid w:val="00C805E3"/>
    <w:rsid w:val="00C80F67"/>
    <w:rsid w:val="00C820B6"/>
    <w:rsid w:val="00C949CD"/>
    <w:rsid w:val="00C961D5"/>
    <w:rsid w:val="00CA2B07"/>
    <w:rsid w:val="00CB0094"/>
    <w:rsid w:val="00CB3FAA"/>
    <w:rsid w:val="00CB4B08"/>
    <w:rsid w:val="00CD1390"/>
    <w:rsid w:val="00CD16CE"/>
    <w:rsid w:val="00CD188B"/>
    <w:rsid w:val="00CD28C6"/>
    <w:rsid w:val="00CE709C"/>
    <w:rsid w:val="00D126B9"/>
    <w:rsid w:val="00D12D3F"/>
    <w:rsid w:val="00D2194F"/>
    <w:rsid w:val="00D265E8"/>
    <w:rsid w:val="00D31118"/>
    <w:rsid w:val="00D36A3A"/>
    <w:rsid w:val="00D573C5"/>
    <w:rsid w:val="00D60ECA"/>
    <w:rsid w:val="00D6207B"/>
    <w:rsid w:val="00D63C2D"/>
    <w:rsid w:val="00D64DF3"/>
    <w:rsid w:val="00D738E6"/>
    <w:rsid w:val="00D93F37"/>
    <w:rsid w:val="00DA4F92"/>
    <w:rsid w:val="00DA527E"/>
    <w:rsid w:val="00DB26FB"/>
    <w:rsid w:val="00DB5AB2"/>
    <w:rsid w:val="00DC1458"/>
    <w:rsid w:val="00DC63F6"/>
    <w:rsid w:val="00DC6937"/>
    <w:rsid w:val="00DC6F17"/>
    <w:rsid w:val="00DD1C40"/>
    <w:rsid w:val="00DD2FCB"/>
    <w:rsid w:val="00DD6E89"/>
    <w:rsid w:val="00DE0893"/>
    <w:rsid w:val="00DE181B"/>
    <w:rsid w:val="00DE293E"/>
    <w:rsid w:val="00DF097B"/>
    <w:rsid w:val="00DF2390"/>
    <w:rsid w:val="00DF2DB9"/>
    <w:rsid w:val="00E03603"/>
    <w:rsid w:val="00E101E9"/>
    <w:rsid w:val="00E206A9"/>
    <w:rsid w:val="00E3787E"/>
    <w:rsid w:val="00E431EF"/>
    <w:rsid w:val="00E62ED5"/>
    <w:rsid w:val="00E733BB"/>
    <w:rsid w:val="00E77FDC"/>
    <w:rsid w:val="00E80E5C"/>
    <w:rsid w:val="00E8120C"/>
    <w:rsid w:val="00E851A6"/>
    <w:rsid w:val="00E86121"/>
    <w:rsid w:val="00E918EE"/>
    <w:rsid w:val="00E977AE"/>
    <w:rsid w:val="00EA1493"/>
    <w:rsid w:val="00EA326E"/>
    <w:rsid w:val="00EA4804"/>
    <w:rsid w:val="00EA7E79"/>
    <w:rsid w:val="00EC06A6"/>
    <w:rsid w:val="00EC503D"/>
    <w:rsid w:val="00ED3C76"/>
    <w:rsid w:val="00ED4B1A"/>
    <w:rsid w:val="00EE6A6F"/>
    <w:rsid w:val="00EE6F9C"/>
    <w:rsid w:val="00EF0150"/>
    <w:rsid w:val="00EF541D"/>
    <w:rsid w:val="00EF54C6"/>
    <w:rsid w:val="00F00100"/>
    <w:rsid w:val="00F071AC"/>
    <w:rsid w:val="00F14743"/>
    <w:rsid w:val="00F26702"/>
    <w:rsid w:val="00F27883"/>
    <w:rsid w:val="00F36B6B"/>
    <w:rsid w:val="00F44F2C"/>
    <w:rsid w:val="00F47149"/>
    <w:rsid w:val="00F54A1E"/>
    <w:rsid w:val="00F577FD"/>
    <w:rsid w:val="00F609B4"/>
    <w:rsid w:val="00F6786B"/>
    <w:rsid w:val="00F96B48"/>
    <w:rsid w:val="00FA06C0"/>
    <w:rsid w:val="00FA5AA9"/>
    <w:rsid w:val="00FA6EFF"/>
    <w:rsid w:val="00FB462F"/>
    <w:rsid w:val="00FC462C"/>
    <w:rsid w:val="00FD1426"/>
    <w:rsid w:val="00FD3D9D"/>
    <w:rsid w:val="00FD4641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Standardskriftforavsnitt"/>
    <w:rsid w:val="007A0C29"/>
  </w:style>
  <w:style w:type="character" w:styleId="Utheving">
    <w:name w:val="Emphasis"/>
    <w:basedOn w:val="Standardskriftforavsnit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Standardskriftforavsnitt"/>
    <w:rsid w:val="007A0C29"/>
  </w:style>
  <w:style w:type="character" w:styleId="Utheving">
    <w:name w:val="Emphasis"/>
    <w:basedOn w:val="Standardskriftforavsnit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2017-05-10T10:47:00Z</dcterms:created>
  <dcterms:modified xsi:type="dcterms:W3CDTF">2017-05-10T10:47:00Z</dcterms:modified>
</cp:coreProperties>
</file>