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A29E" w14:textId="77777777" w:rsidR="00CE68F2" w:rsidRPr="0084422F" w:rsidRDefault="008C3E49" w:rsidP="0084422F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84422F">
        <w:rPr>
          <w:rFonts w:ascii="Garamond" w:hAnsi="Garamond"/>
          <w:b/>
          <w:sz w:val="24"/>
          <w:szCs w:val="24"/>
          <w:lang w:val="en-US"/>
        </w:rPr>
        <w:t>GRADING GUIDE</w:t>
      </w:r>
      <w:r w:rsidR="005862FB" w:rsidRPr="0084422F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FE1B3B" w:rsidRPr="0084422F">
        <w:rPr>
          <w:rFonts w:ascii="Garamond" w:hAnsi="Garamond"/>
          <w:b/>
          <w:sz w:val="24"/>
          <w:szCs w:val="24"/>
          <w:lang w:val="en-US"/>
        </w:rPr>
        <w:t>–</w:t>
      </w:r>
      <w:r w:rsidR="006623B0" w:rsidRPr="0084422F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AE2F59" w:rsidRPr="0084422F">
        <w:rPr>
          <w:rFonts w:ascii="Garamond" w:hAnsi="Garamond"/>
          <w:b/>
          <w:sz w:val="24"/>
          <w:szCs w:val="24"/>
          <w:lang w:val="en-US"/>
        </w:rPr>
        <w:t xml:space="preserve">HUMAN GEOGRAPHY </w:t>
      </w:r>
      <w:r w:rsidR="006623B0" w:rsidRPr="0084422F">
        <w:rPr>
          <w:rFonts w:ascii="Garamond" w:hAnsi="Garamond"/>
          <w:b/>
          <w:sz w:val="24"/>
          <w:szCs w:val="24"/>
          <w:lang w:val="en-US"/>
        </w:rPr>
        <w:t>(bachelor SGO and master HGO)</w:t>
      </w:r>
    </w:p>
    <w:p w14:paraId="07834585" w14:textId="77777777" w:rsidR="00F66CC8" w:rsidRPr="0084422F" w:rsidRDefault="00F66CC8" w:rsidP="0084422F">
      <w:pPr>
        <w:spacing w:after="0"/>
        <w:rPr>
          <w:rFonts w:ascii="Garamond" w:hAnsi="Garamond"/>
          <w:b/>
          <w:sz w:val="24"/>
          <w:szCs w:val="24"/>
          <w:lang w:val="en-US"/>
        </w:rPr>
      </w:pPr>
    </w:p>
    <w:p w14:paraId="520EA2AF" w14:textId="0ABB39E6" w:rsidR="00FB740E" w:rsidRPr="0084422F" w:rsidRDefault="00FE1B3B" w:rsidP="0084422F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b/>
          <w:sz w:val="24"/>
          <w:szCs w:val="24"/>
          <w:lang w:val="en-US"/>
        </w:rPr>
        <w:t>Course code</w:t>
      </w:r>
      <w:r w:rsidR="00FB740E" w:rsidRPr="0084422F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84422F">
        <w:rPr>
          <w:rFonts w:ascii="Garamond" w:hAnsi="Garamond"/>
          <w:b/>
          <w:sz w:val="24"/>
          <w:szCs w:val="24"/>
          <w:lang w:val="en-US"/>
        </w:rPr>
        <w:t>and</w:t>
      </w:r>
      <w:r w:rsidR="00FB740E" w:rsidRPr="0084422F">
        <w:rPr>
          <w:rFonts w:ascii="Garamond" w:hAnsi="Garamond"/>
          <w:b/>
          <w:sz w:val="24"/>
          <w:szCs w:val="24"/>
          <w:lang w:val="en-US"/>
        </w:rPr>
        <w:t xml:space="preserve"> semester</w:t>
      </w:r>
      <w:r w:rsidR="004402E2" w:rsidRPr="0084422F">
        <w:rPr>
          <w:rFonts w:ascii="Garamond" w:hAnsi="Garamond"/>
          <w:b/>
          <w:sz w:val="24"/>
          <w:szCs w:val="24"/>
          <w:lang w:val="en-US"/>
        </w:rPr>
        <w:t>-</w:t>
      </w:r>
      <w:r w:rsidRPr="0084422F">
        <w:rPr>
          <w:rFonts w:ascii="Garamond" w:hAnsi="Garamond"/>
          <w:b/>
          <w:sz w:val="24"/>
          <w:szCs w:val="24"/>
          <w:lang w:val="en-US"/>
        </w:rPr>
        <w:t>year</w:t>
      </w:r>
      <w:r w:rsidR="00FB740E" w:rsidRPr="0084422F">
        <w:rPr>
          <w:rFonts w:ascii="Garamond" w:hAnsi="Garamond"/>
          <w:b/>
          <w:sz w:val="24"/>
          <w:szCs w:val="24"/>
          <w:lang w:val="en-US"/>
        </w:rPr>
        <w:t>:</w:t>
      </w:r>
      <w:r w:rsidR="00FB740E" w:rsidRPr="0084422F">
        <w:rPr>
          <w:rFonts w:ascii="Garamond" w:hAnsi="Garamond"/>
          <w:sz w:val="24"/>
          <w:szCs w:val="24"/>
          <w:lang w:val="en-US"/>
        </w:rPr>
        <w:t xml:space="preserve"> </w:t>
      </w:r>
      <w:r w:rsidR="00DB29BE" w:rsidRPr="0084422F">
        <w:rPr>
          <w:rFonts w:ascii="Garamond" w:hAnsi="Garamond"/>
          <w:sz w:val="24"/>
          <w:szCs w:val="24"/>
          <w:lang w:val="en-US"/>
        </w:rPr>
        <w:t xml:space="preserve">HGO4201 (Fall </w:t>
      </w:r>
      <w:r w:rsidR="009079BC">
        <w:rPr>
          <w:rFonts w:ascii="Garamond" w:hAnsi="Garamond"/>
          <w:sz w:val="24"/>
          <w:szCs w:val="24"/>
          <w:lang w:val="en-US"/>
        </w:rPr>
        <w:t>202</w:t>
      </w:r>
      <w:r w:rsidR="00A64723">
        <w:rPr>
          <w:rFonts w:ascii="Garamond" w:hAnsi="Garamond"/>
          <w:sz w:val="24"/>
          <w:szCs w:val="24"/>
          <w:lang w:val="en-US"/>
        </w:rPr>
        <w:t>3</w:t>
      </w:r>
      <w:r w:rsidR="00DB29BE" w:rsidRPr="0084422F">
        <w:rPr>
          <w:rFonts w:ascii="Garamond" w:hAnsi="Garamond"/>
          <w:sz w:val="24"/>
          <w:szCs w:val="24"/>
          <w:lang w:val="en-US"/>
        </w:rPr>
        <w:t>)</w:t>
      </w:r>
    </w:p>
    <w:p w14:paraId="1683E33A" w14:textId="77777777" w:rsidR="00DC0510" w:rsidRPr="0084422F" w:rsidRDefault="00FE1B3B" w:rsidP="0084422F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b/>
          <w:sz w:val="24"/>
          <w:szCs w:val="24"/>
          <w:lang w:val="en-US"/>
        </w:rPr>
        <w:t>Type of exam</w:t>
      </w:r>
      <w:r w:rsidR="008C3E49" w:rsidRPr="0084422F">
        <w:rPr>
          <w:rFonts w:ascii="Garamond" w:hAnsi="Garamond"/>
          <w:b/>
          <w:sz w:val="24"/>
          <w:szCs w:val="24"/>
          <w:lang w:val="en-US"/>
        </w:rPr>
        <w:t>ination</w:t>
      </w:r>
      <w:r w:rsidR="00FB740E" w:rsidRPr="0084422F">
        <w:rPr>
          <w:rFonts w:ascii="Garamond" w:hAnsi="Garamond"/>
          <w:b/>
          <w:sz w:val="24"/>
          <w:szCs w:val="24"/>
          <w:lang w:val="en-US"/>
        </w:rPr>
        <w:t>:</w:t>
      </w:r>
    </w:p>
    <w:p w14:paraId="5CB0DEC4" w14:textId="77777777" w:rsidR="00DC0510" w:rsidRPr="0084422F" w:rsidRDefault="008C3E49" w:rsidP="0084422F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Written school exam</w:t>
      </w:r>
      <w:r w:rsidR="00FB740E" w:rsidRPr="0084422F">
        <w:rPr>
          <w:rFonts w:ascii="Garamond" w:hAnsi="Garamond"/>
          <w:sz w:val="24"/>
          <w:szCs w:val="24"/>
          <w:lang w:val="en-US"/>
        </w:rPr>
        <w:t xml:space="preserve"> </w:t>
      </w:r>
      <w:r w:rsidR="004402E2" w:rsidRPr="0084422F">
        <w:rPr>
          <w:rFonts w:ascii="Garamond" w:hAnsi="Garamond"/>
          <w:sz w:val="24"/>
          <w:szCs w:val="24"/>
          <w:lang w:val="en-US"/>
        </w:rPr>
        <w:t xml:space="preserve">/ </w:t>
      </w:r>
      <w:r w:rsidRPr="0084422F">
        <w:rPr>
          <w:rFonts w:ascii="Garamond" w:hAnsi="Garamond"/>
          <w:sz w:val="24"/>
          <w:szCs w:val="24"/>
          <w:lang w:val="en-US"/>
        </w:rPr>
        <w:t>take-home exam</w:t>
      </w:r>
      <w:r w:rsidR="00661306" w:rsidRPr="0084422F">
        <w:rPr>
          <w:rFonts w:ascii="Garamond" w:hAnsi="Garamond"/>
          <w:sz w:val="24"/>
          <w:szCs w:val="24"/>
          <w:lang w:val="en-US"/>
        </w:rPr>
        <w:t xml:space="preserve"> / </w:t>
      </w:r>
      <w:r w:rsidRPr="0084422F">
        <w:rPr>
          <w:rFonts w:ascii="Garamond" w:hAnsi="Garamond"/>
          <w:sz w:val="24"/>
          <w:szCs w:val="24"/>
          <w:u w:val="single"/>
          <w:lang w:val="en-US"/>
        </w:rPr>
        <w:t>term paper given topic</w:t>
      </w:r>
      <w:r w:rsidRPr="0084422F">
        <w:rPr>
          <w:rFonts w:ascii="Garamond" w:hAnsi="Garamond"/>
          <w:sz w:val="24"/>
          <w:szCs w:val="24"/>
          <w:lang w:val="en-US"/>
        </w:rPr>
        <w:t xml:space="preserve"> </w:t>
      </w:r>
      <w:r w:rsidR="00A230A5" w:rsidRPr="0084422F">
        <w:rPr>
          <w:rFonts w:ascii="Garamond" w:hAnsi="Garamond"/>
          <w:sz w:val="24"/>
          <w:szCs w:val="24"/>
          <w:lang w:val="en-US"/>
        </w:rPr>
        <w:t xml:space="preserve">/ </w:t>
      </w:r>
      <w:r w:rsidRPr="0084422F">
        <w:rPr>
          <w:rFonts w:ascii="Garamond" w:hAnsi="Garamond"/>
          <w:sz w:val="24"/>
          <w:szCs w:val="24"/>
          <w:lang w:val="en-US"/>
        </w:rPr>
        <w:t xml:space="preserve">term paper self-chosen </w:t>
      </w:r>
      <w:r w:rsidR="00A230A5" w:rsidRPr="0084422F">
        <w:rPr>
          <w:rFonts w:ascii="Garamond" w:hAnsi="Garamond"/>
          <w:sz w:val="24"/>
          <w:szCs w:val="24"/>
          <w:lang w:val="en-US"/>
        </w:rPr>
        <w:t>t</w:t>
      </w:r>
      <w:r w:rsidRPr="0084422F">
        <w:rPr>
          <w:rFonts w:ascii="Garamond" w:hAnsi="Garamond"/>
          <w:sz w:val="24"/>
          <w:szCs w:val="24"/>
          <w:lang w:val="en-US"/>
        </w:rPr>
        <w:t>opic</w:t>
      </w:r>
      <w:r w:rsidR="00661306" w:rsidRPr="0084422F">
        <w:rPr>
          <w:rFonts w:ascii="Garamond" w:hAnsi="Garamond"/>
          <w:sz w:val="24"/>
          <w:szCs w:val="24"/>
          <w:lang w:val="en-US"/>
        </w:rPr>
        <w:t xml:space="preserve"> </w:t>
      </w:r>
    </w:p>
    <w:p w14:paraId="085EF5F9" w14:textId="77777777" w:rsidR="00F66CC8" w:rsidRPr="0084422F" w:rsidRDefault="00F66CC8" w:rsidP="0084422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E0F1318" w14:textId="77777777" w:rsidR="00DC0510" w:rsidRPr="0084422F" w:rsidRDefault="00DC0510" w:rsidP="0084422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635C5E0D" w14:textId="77777777" w:rsidR="00421745" w:rsidRPr="00D51345" w:rsidRDefault="004402E2" w:rsidP="0084422F">
      <w:pPr>
        <w:shd w:val="clear" w:color="auto" w:fill="FFFFFF"/>
        <w:spacing w:after="0" w:line="240" w:lineRule="auto"/>
        <w:ind w:right="150"/>
        <w:textAlignment w:val="baseline"/>
        <w:rPr>
          <w:rFonts w:ascii="Garamond" w:eastAsia="Times New Roman" w:hAnsi="Garamond" w:cs="Arial"/>
          <w:color w:val="444444"/>
          <w:sz w:val="24"/>
          <w:szCs w:val="24"/>
          <w:lang w:val="en-GB" w:eastAsia="sv-SE"/>
        </w:rPr>
      </w:pPr>
      <w:r w:rsidRPr="0084422F">
        <w:rPr>
          <w:rFonts w:ascii="Garamond" w:hAnsi="Garamond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2B592" wp14:editId="559C6699">
                <wp:simplePos x="0" y="0"/>
                <wp:positionH relativeFrom="margin">
                  <wp:posOffset>-50050</wp:posOffset>
                </wp:positionH>
                <wp:positionV relativeFrom="paragraph">
                  <wp:posOffset>-120996</wp:posOffset>
                </wp:positionV>
                <wp:extent cx="5791200" cy="17760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B9ED" w14:textId="77777777" w:rsidR="007F5B32" w:rsidRDefault="007F5B32" w:rsidP="007F5B32">
                            <w:pPr>
                              <w:rPr>
                                <w:lang w:val="en-US"/>
                              </w:rPr>
                            </w:pPr>
                            <w:r w:rsidRPr="00573EFE">
                              <w:rPr>
                                <w:b/>
                                <w:lang w:val="en-US"/>
                              </w:rPr>
                              <w:t xml:space="preserve">About exams at </w:t>
                            </w:r>
                            <w:r w:rsidR="006623B0">
                              <w:rPr>
                                <w:b/>
                                <w:lang w:val="en-US"/>
                              </w:rPr>
                              <w:t>SGO/</w:t>
                            </w:r>
                            <w:r w:rsidRPr="00573EFE">
                              <w:rPr>
                                <w:b/>
                                <w:lang w:val="en-US"/>
                              </w:rPr>
                              <w:t>HGO: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 good </w:t>
                            </w:r>
                            <w:r>
                              <w:rPr>
                                <w:lang w:val="en-US"/>
                              </w:rPr>
                              <w:t>examination pap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er contains solid knowledge, </w:t>
                            </w:r>
                            <w:r>
                              <w:rPr>
                                <w:lang w:val="en-US"/>
                              </w:rPr>
                              <w:t xml:space="preserve">logical and coherent 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reasoning and </w:t>
                            </w:r>
                            <w:r>
                              <w:rPr>
                                <w:lang w:val="en-US"/>
                              </w:rPr>
                              <w:t>a systematic structure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. The answer </w:t>
                            </w:r>
                            <w:r>
                              <w:rPr>
                                <w:lang w:val="en-US"/>
                              </w:rPr>
                              <w:t xml:space="preserve">to 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lang w:val="en-US"/>
                              </w:rPr>
                              <w:t>discussion question/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task </w:t>
                            </w:r>
                            <w:r>
                              <w:rPr>
                                <w:lang w:val="en-US"/>
                              </w:rPr>
                              <w:t>must examine, analyze,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 and connect different parts of the curriculum. </w:t>
                            </w:r>
                          </w:p>
                          <w:p w14:paraId="54249EC6" w14:textId="77777777" w:rsidR="007F5B32" w:rsidRPr="00E01BBF" w:rsidRDefault="007F5B32" w:rsidP="007F5B3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E01BBF">
                              <w:rPr>
                                <w:lang w:val="en-US"/>
                              </w:rPr>
                              <w:t xml:space="preserve">The answer responds to the </w:t>
                            </w:r>
                            <w:r>
                              <w:rPr>
                                <w:lang w:val="en-US"/>
                              </w:rPr>
                              <w:t>question/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task </w:t>
                            </w:r>
                            <w:r>
                              <w:rPr>
                                <w:lang w:val="en-US"/>
                              </w:rPr>
                              <w:t>given i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n a precise and exhaustive way. </w:t>
                            </w:r>
                          </w:p>
                          <w:p w14:paraId="1BEBFE6E" w14:textId="77777777" w:rsidR="007F5B32" w:rsidRPr="00E01BBF" w:rsidRDefault="007F5B32" w:rsidP="007F5B3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E01BBF">
                              <w:rPr>
                                <w:lang w:val="en-US"/>
                              </w:rPr>
                              <w:t xml:space="preserve">The answer </w:t>
                            </w:r>
                            <w:r>
                              <w:rPr>
                                <w:lang w:val="en-US"/>
                              </w:rPr>
                              <w:t>demonstrates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 knowledge. </w:t>
                            </w:r>
                          </w:p>
                          <w:p w14:paraId="478C7609" w14:textId="77777777" w:rsidR="007F5B32" w:rsidRPr="00E01BBF" w:rsidRDefault="007F5B32" w:rsidP="007F5B3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E01BBF">
                              <w:rPr>
                                <w:lang w:val="en-US"/>
                              </w:rPr>
                              <w:t xml:space="preserve">The answer </w:t>
                            </w:r>
                            <w:r>
                              <w:rPr>
                                <w:lang w:val="en-US"/>
                              </w:rPr>
                              <w:t xml:space="preserve">must </w:t>
                            </w:r>
                            <w:r w:rsidRPr="00E01BBF">
                              <w:rPr>
                                <w:lang w:val="en-US"/>
                              </w:rPr>
                              <w:t>be well-written: co</w:t>
                            </w:r>
                            <w:r>
                              <w:rPr>
                                <w:lang w:val="en-US"/>
                              </w:rPr>
                              <w:t xml:space="preserve">herent and using 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good academic language.  </w:t>
                            </w:r>
                          </w:p>
                          <w:p w14:paraId="72991A52" w14:textId="77777777" w:rsidR="007F5B32" w:rsidRPr="00E01BBF" w:rsidRDefault="007F5B32" w:rsidP="007F5B3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E01BBF">
                              <w:rPr>
                                <w:lang w:val="en-US"/>
                              </w:rPr>
                              <w:t>Key concepts</w:t>
                            </w:r>
                            <w:r>
                              <w:rPr>
                                <w:lang w:val="en-US"/>
                              </w:rPr>
                              <w:t xml:space="preserve"> – those </w:t>
                            </w:r>
                            <w:r w:rsidRPr="00E01BBF">
                              <w:rPr>
                                <w:lang w:val="en-US"/>
                              </w:rPr>
                              <w:t>at the core of the answer</w:t>
                            </w:r>
                            <w:r>
                              <w:rPr>
                                <w:lang w:val="en-US"/>
                              </w:rPr>
                              <w:t xml:space="preserve"> – must 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be defined.  </w:t>
                            </w:r>
                          </w:p>
                          <w:p w14:paraId="7693C0EF" w14:textId="77777777" w:rsidR="007F5B32" w:rsidRPr="007F5B32" w:rsidRDefault="007F5B32" w:rsidP="007F5B3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E01BBF">
                              <w:rPr>
                                <w:lang w:val="en-US"/>
                              </w:rPr>
                              <w:t xml:space="preserve">The answer </w:t>
                            </w:r>
                            <w:r>
                              <w:rPr>
                                <w:lang w:val="en-US"/>
                              </w:rPr>
                              <w:t xml:space="preserve">demonstrates </w:t>
                            </w:r>
                            <w:r w:rsidRPr="00E01BBF">
                              <w:rPr>
                                <w:lang w:val="en-US"/>
                              </w:rPr>
                              <w:t xml:space="preserve">analytical </w:t>
                            </w:r>
                            <w:r>
                              <w:rPr>
                                <w:lang w:val="en-US"/>
                              </w:rPr>
                              <w:t xml:space="preserve">capacity </w:t>
                            </w:r>
                            <w:r w:rsidRPr="00E01BBF">
                              <w:rPr>
                                <w:lang w:val="en-US"/>
                              </w:rPr>
                              <w:t>and reflection.</w:t>
                            </w:r>
                          </w:p>
                          <w:p w14:paraId="1D5D887D" w14:textId="77777777" w:rsidR="004402E2" w:rsidRPr="00CE68F2" w:rsidRDefault="007F5B32" w:rsidP="004402E2">
                            <w:r>
                              <w:rPr>
                                <w:b/>
                              </w:rPr>
                              <w:t xml:space="preserve">Om eksamen ved </w:t>
                            </w:r>
                            <w:r w:rsidR="006623B0">
                              <w:rPr>
                                <w:b/>
                              </w:rPr>
                              <w:t>SGO/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 w:rsidR="004402E2">
                              <w:rPr>
                                <w:b/>
                              </w:rPr>
                              <w:t>GO</w:t>
                            </w:r>
                            <w:r w:rsidR="004402E2" w:rsidRPr="00656089">
                              <w:rPr>
                                <w:b/>
                              </w:rPr>
                              <w:t xml:space="preserve">: </w:t>
                            </w:r>
                            <w:r w:rsidR="004402E2" w:rsidRPr="00CE68F2">
                              <w:t xml:space="preserve">En god besvarelse inneholder solid kunnskap, logisk argumentasjon og ryddig disposisjon. </w:t>
                            </w:r>
                            <w:r w:rsidR="004402E2">
                              <w:t>Besvarelsen av en drøftingsoppgave skal være</w:t>
                            </w:r>
                            <w:r w:rsidR="004402E2" w:rsidRPr="00CE68F2">
                              <w:t xml:space="preserve"> d</w:t>
                            </w:r>
                            <w:r w:rsidR="004402E2">
                              <w:t>iskuterende, analytisk og koble</w:t>
                            </w:r>
                            <w:r w:rsidR="004402E2" w:rsidRPr="00CE68F2">
                              <w:t xml:space="preserve"> </w:t>
                            </w:r>
                            <w:r w:rsidR="004402E2">
                              <w:t>ulike</w:t>
                            </w:r>
                            <w:r w:rsidR="004402E2" w:rsidRPr="00CE68F2">
                              <w:t xml:space="preserve"> deler av pensum.</w:t>
                            </w:r>
                          </w:p>
                          <w:p w14:paraId="2849DA09" w14:textId="77777777" w:rsidR="004402E2" w:rsidRDefault="004402E2" w:rsidP="004402E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Besvarelsen svarer på oppgaveteksten på en presis og utfyllende måte.</w:t>
                            </w:r>
                          </w:p>
                          <w:p w14:paraId="343E4EB5" w14:textId="77777777" w:rsidR="004402E2" w:rsidRDefault="004402E2" w:rsidP="004402E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Besvarelsen viser kunnskap.</w:t>
                            </w:r>
                          </w:p>
                          <w:p w14:paraId="555E3B83" w14:textId="77777777" w:rsidR="004402E2" w:rsidRDefault="004402E2" w:rsidP="004402E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Besvarelsen skal være velskrevet: sammenhengende med godt akademisk språk. </w:t>
                            </w:r>
                          </w:p>
                          <w:p w14:paraId="1B1DEE8D" w14:textId="77777777" w:rsidR="004402E2" w:rsidRDefault="004402E2" w:rsidP="004402E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Viktige begreper - de som er i kjernen av besvarelsen – skal defineres. </w:t>
                            </w:r>
                          </w:p>
                          <w:p w14:paraId="66556885" w14:textId="77777777" w:rsidR="004402E2" w:rsidRDefault="004402E2" w:rsidP="004402E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Besvarelsen skal vise analytiske evne og refleksjon.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2B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-9.55pt;width:456pt;height:13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SXEAIAACA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">
                <v:textbox style="mso-fit-shape-to-text:t">
                  <w:txbxContent>
                    <w:p w14:paraId="6877B9ED" w14:textId="77777777" w:rsidR="007F5B32" w:rsidRDefault="007F5B32" w:rsidP="007F5B32">
                      <w:pPr>
                        <w:rPr>
                          <w:lang w:val="en-US"/>
                        </w:rPr>
                      </w:pPr>
                      <w:r w:rsidRPr="00573EFE">
                        <w:rPr>
                          <w:b/>
                          <w:lang w:val="en-US"/>
                        </w:rPr>
                        <w:t xml:space="preserve">About exams at </w:t>
                      </w:r>
                      <w:r w:rsidR="006623B0">
                        <w:rPr>
                          <w:b/>
                          <w:lang w:val="en-US"/>
                        </w:rPr>
                        <w:t>SGO/</w:t>
                      </w:r>
                      <w:r w:rsidRPr="00573EFE">
                        <w:rPr>
                          <w:b/>
                          <w:lang w:val="en-US"/>
                        </w:rPr>
                        <w:t>HGO:</w:t>
                      </w:r>
                      <w:r w:rsidRPr="00E01BB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E01BBF">
                        <w:rPr>
                          <w:lang w:val="en-US"/>
                        </w:rPr>
                        <w:t xml:space="preserve"> good </w:t>
                      </w:r>
                      <w:r>
                        <w:rPr>
                          <w:lang w:val="en-US"/>
                        </w:rPr>
                        <w:t>examination pap</w:t>
                      </w:r>
                      <w:r w:rsidRPr="00E01BBF">
                        <w:rPr>
                          <w:lang w:val="en-US"/>
                        </w:rPr>
                        <w:t xml:space="preserve">er contains solid knowledge, </w:t>
                      </w:r>
                      <w:r>
                        <w:rPr>
                          <w:lang w:val="en-US"/>
                        </w:rPr>
                        <w:t xml:space="preserve">logical and coherent </w:t>
                      </w:r>
                      <w:r w:rsidRPr="00E01BBF">
                        <w:rPr>
                          <w:lang w:val="en-US"/>
                        </w:rPr>
                        <w:t xml:space="preserve">reasoning and </w:t>
                      </w:r>
                      <w:r>
                        <w:rPr>
                          <w:lang w:val="en-US"/>
                        </w:rPr>
                        <w:t>a systematic structure</w:t>
                      </w:r>
                      <w:r w:rsidRPr="00E01BBF">
                        <w:rPr>
                          <w:lang w:val="en-US"/>
                        </w:rPr>
                        <w:t xml:space="preserve">. The answer </w:t>
                      </w:r>
                      <w:r>
                        <w:rPr>
                          <w:lang w:val="en-US"/>
                        </w:rPr>
                        <w:t xml:space="preserve">to </w:t>
                      </w:r>
                      <w:r w:rsidRPr="00E01BBF">
                        <w:rPr>
                          <w:lang w:val="en-US"/>
                        </w:rPr>
                        <w:t xml:space="preserve">a </w:t>
                      </w:r>
                      <w:r>
                        <w:rPr>
                          <w:lang w:val="en-US"/>
                        </w:rPr>
                        <w:t>discussion question/</w:t>
                      </w:r>
                      <w:r w:rsidRPr="00E01BBF">
                        <w:rPr>
                          <w:lang w:val="en-US"/>
                        </w:rPr>
                        <w:t xml:space="preserve">task </w:t>
                      </w:r>
                      <w:r>
                        <w:rPr>
                          <w:lang w:val="en-US"/>
                        </w:rPr>
                        <w:t>must examine, analyze,</w:t>
                      </w:r>
                      <w:r w:rsidRPr="00E01BBF">
                        <w:rPr>
                          <w:lang w:val="en-US"/>
                        </w:rPr>
                        <w:t xml:space="preserve"> and connect different parts of the curriculum. </w:t>
                      </w:r>
                    </w:p>
                    <w:p w14:paraId="54249EC6" w14:textId="77777777" w:rsidR="007F5B32" w:rsidRPr="00E01BBF" w:rsidRDefault="007F5B32" w:rsidP="007F5B3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E01BBF">
                        <w:rPr>
                          <w:lang w:val="en-US"/>
                        </w:rPr>
                        <w:t xml:space="preserve">The answer responds to the </w:t>
                      </w:r>
                      <w:r>
                        <w:rPr>
                          <w:lang w:val="en-US"/>
                        </w:rPr>
                        <w:t>question/</w:t>
                      </w:r>
                      <w:r w:rsidRPr="00E01BBF">
                        <w:rPr>
                          <w:lang w:val="en-US"/>
                        </w:rPr>
                        <w:t xml:space="preserve">task </w:t>
                      </w:r>
                      <w:r>
                        <w:rPr>
                          <w:lang w:val="en-US"/>
                        </w:rPr>
                        <w:t>given i</w:t>
                      </w:r>
                      <w:r w:rsidRPr="00E01BBF">
                        <w:rPr>
                          <w:lang w:val="en-US"/>
                        </w:rPr>
                        <w:t xml:space="preserve">n a precise and exhaustive way. </w:t>
                      </w:r>
                    </w:p>
                    <w:p w14:paraId="1BEBFE6E" w14:textId="77777777" w:rsidR="007F5B32" w:rsidRPr="00E01BBF" w:rsidRDefault="007F5B32" w:rsidP="007F5B3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E01BBF">
                        <w:rPr>
                          <w:lang w:val="en-US"/>
                        </w:rPr>
                        <w:t xml:space="preserve">The answer </w:t>
                      </w:r>
                      <w:r>
                        <w:rPr>
                          <w:lang w:val="en-US"/>
                        </w:rPr>
                        <w:t>demonstrates</w:t>
                      </w:r>
                      <w:r w:rsidRPr="00E01BBF">
                        <w:rPr>
                          <w:lang w:val="en-US"/>
                        </w:rPr>
                        <w:t xml:space="preserve"> knowledge. </w:t>
                      </w:r>
                    </w:p>
                    <w:p w14:paraId="478C7609" w14:textId="77777777" w:rsidR="007F5B32" w:rsidRPr="00E01BBF" w:rsidRDefault="007F5B32" w:rsidP="007F5B3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E01BBF">
                        <w:rPr>
                          <w:lang w:val="en-US"/>
                        </w:rPr>
                        <w:t xml:space="preserve">The answer </w:t>
                      </w:r>
                      <w:r>
                        <w:rPr>
                          <w:lang w:val="en-US"/>
                        </w:rPr>
                        <w:t xml:space="preserve">must </w:t>
                      </w:r>
                      <w:r w:rsidRPr="00E01BBF">
                        <w:rPr>
                          <w:lang w:val="en-US"/>
                        </w:rPr>
                        <w:t>be well-written: co</w:t>
                      </w:r>
                      <w:r>
                        <w:rPr>
                          <w:lang w:val="en-US"/>
                        </w:rPr>
                        <w:t xml:space="preserve">herent and using </w:t>
                      </w:r>
                      <w:r w:rsidRPr="00E01BBF">
                        <w:rPr>
                          <w:lang w:val="en-US"/>
                        </w:rPr>
                        <w:t xml:space="preserve">good academic language.  </w:t>
                      </w:r>
                    </w:p>
                    <w:p w14:paraId="72991A52" w14:textId="77777777" w:rsidR="007F5B32" w:rsidRPr="00E01BBF" w:rsidRDefault="007F5B32" w:rsidP="007F5B3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E01BBF">
                        <w:rPr>
                          <w:lang w:val="en-US"/>
                        </w:rPr>
                        <w:t>Key concepts</w:t>
                      </w:r>
                      <w:r>
                        <w:rPr>
                          <w:lang w:val="en-US"/>
                        </w:rPr>
                        <w:t xml:space="preserve"> – those </w:t>
                      </w:r>
                      <w:r w:rsidRPr="00E01BBF">
                        <w:rPr>
                          <w:lang w:val="en-US"/>
                        </w:rPr>
                        <w:t>at the core of the answer</w:t>
                      </w:r>
                      <w:r>
                        <w:rPr>
                          <w:lang w:val="en-US"/>
                        </w:rPr>
                        <w:t xml:space="preserve"> – must </w:t>
                      </w:r>
                      <w:r w:rsidRPr="00E01BBF">
                        <w:rPr>
                          <w:lang w:val="en-US"/>
                        </w:rPr>
                        <w:t xml:space="preserve">be defined.  </w:t>
                      </w:r>
                    </w:p>
                    <w:p w14:paraId="7693C0EF" w14:textId="77777777" w:rsidR="007F5B32" w:rsidRPr="007F5B32" w:rsidRDefault="007F5B32" w:rsidP="007F5B3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E01BBF">
                        <w:rPr>
                          <w:lang w:val="en-US"/>
                        </w:rPr>
                        <w:t xml:space="preserve">The answer </w:t>
                      </w:r>
                      <w:r>
                        <w:rPr>
                          <w:lang w:val="en-US"/>
                        </w:rPr>
                        <w:t xml:space="preserve">demonstrates </w:t>
                      </w:r>
                      <w:r w:rsidRPr="00E01BBF">
                        <w:rPr>
                          <w:lang w:val="en-US"/>
                        </w:rPr>
                        <w:t xml:space="preserve">analytical </w:t>
                      </w:r>
                      <w:r>
                        <w:rPr>
                          <w:lang w:val="en-US"/>
                        </w:rPr>
                        <w:t xml:space="preserve">capacity </w:t>
                      </w:r>
                      <w:r w:rsidRPr="00E01BBF">
                        <w:rPr>
                          <w:lang w:val="en-US"/>
                        </w:rPr>
                        <w:t>and reflection.</w:t>
                      </w:r>
                    </w:p>
                    <w:p w14:paraId="1D5D887D" w14:textId="77777777" w:rsidR="004402E2" w:rsidRPr="00CE68F2" w:rsidRDefault="007F5B32" w:rsidP="004402E2">
                      <w:r>
                        <w:rPr>
                          <w:b/>
                        </w:rPr>
                        <w:t xml:space="preserve">Om eksamen ved </w:t>
                      </w:r>
                      <w:r w:rsidR="006623B0">
                        <w:rPr>
                          <w:b/>
                        </w:rPr>
                        <w:t>SGO/</w:t>
                      </w:r>
                      <w:r>
                        <w:rPr>
                          <w:b/>
                        </w:rPr>
                        <w:t>H</w:t>
                      </w:r>
                      <w:r w:rsidR="004402E2">
                        <w:rPr>
                          <w:b/>
                        </w:rPr>
                        <w:t>GO</w:t>
                      </w:r>
                      <w:r w:rsidR="004402E2" w:rsidRPr="00656089">
                        <w:rPr>
                          <w:b/>
                        </w:rPr>
                        <w:t xml:space="preserve">: </w:t>
                      </w:r>
                      <w:r w:rsidR="004402E2" w:rsidRPr="00CE68F2">
                        <w:t xml:space="preserve">En god besvarelse inneholder solid kunnskap, logisk argumentasjon og ryddig disposisjon. </w:t>
                      </w:r>
                      <w:r w:rsidR="004402E2">
                        <w:t>Besvarelsen av en drøftingsoppgave skal være</w:t>
                      </w:r>
                      <w:r w:rsidR="004402E2" w:rsidRPr="00CE68F2">
                        <w:t xml:space="preserve"> d</w:t>
                      </w:r>
                      <w:r w:rsidR="004402E2">
                        <w:t>iskuterende, analytisk og koble</w:t>
                      </w:r>
                      <w:r w:rsidR="004402E2" w:rsidRPr="00CE68F2">
                        <w:t xml:space="preserve"> </w:t>
                      </w:r>
                      <w:r w:rsidR="004402E2">
                        <w:t>ulike</w:t>
                      </w:r>
                      <w:r w:rsidR="004402E2" w:rsidRPr="00CE68F2">
                        <w:t xml:space="preserve"> deler av pensum.</w:t>
                      </w:r>
                    </w:p>
                    <w:p w14:paraId="2849DA09" w14:textId="77777777" w:rsidR="004402E2" w:rsidRDefault="004402E2" w:rsidP="004402E2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Besvarelsen svarer på oppgaveteksten på en presis og utfyllende måte.</w:t>
                      </w:r>
                    </w:p>
                    <w:p w14:paraId="343E4EB5" w14:textId="77777777" w:rsidR="004402E2" w:rsidRDefault="004402E2" w:rsidP="004402E2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Besvarelsen viser kunnskap.</w:t>
                      </w:r>
                    </w:p>
                    <w:p w14:paraId="555E3B83" w14:textId="77777777" w:rsidR="004402E2" w:rsidRDefault="004402E2" w:rsidP="004402E2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Besvarelsen skal være velskrevet: sammenhengende med godt akademisk språk. </w:t>
                      </w:r>
                    </w:p>
                    <w:p w14:paraId="1B1DEE8D" w14:textId="77777777" w:rsidR="004402E2" w:rsidRDefault="004402E2" w:rsidP="004402E2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Viktige begreper - de som er i kjernen av besvarelsen – skal defineres. </w:t>
                      </w:r>
                    </w:p>
                    <w:p w14:paraId="66556885" w14:textId="77777777" w:rsidR="004402E2" w:rsidRDefault="004402E2" w:rsidP="004402E2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Besvarelsen skal vise analytiske evne og refleksjon.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BBF" w:rsidRPr="0084422F">
        <w:rPr>
          <w:rFonts w:ascii="Garamond" w:hAnsi="Garamond"/>
          <w:b/>
          <w:sz w:val="24"/>
          <w:szCs w:val="24"/>
          <w:lang w:val="en-US"/>
        </w:rPr>
        <w:t xml:space="preserve">About this </w:t>
      </w:r>
      <w:r w:rsidR="008C3E49" w:rsidRPr="0084422F">
        <w:rPr>
          <w:rFonts w:ascii="Garamond" w:hAnsi="Garamond"/>
          <w:b/>
          <w:sz w:val="24"/>
          <w:szCs w:val="24"/>
          <w:lang w:val="en-US"/>
        </w:rPr>
        <w:t xml:space="preserve">course: </w:t>
      </w:r>
      <w:r w:rsidR="00421745" w:rsidRPr="009079BC">
        <w:rPr>
          <w:rFonts w:ascii="Garamond" w:hAnsi="Garamond" w:cs="Arial"/>
          <w:color w:val="444444"/>
          <w:sz w:val="24"/>
          <w:szCs w:val="24"/>
          <w:shd w:val="clear" w:color="auto" w:fill="FFFFFF"/>
          <w:lang w:val="en-GB"/>
        </w:rPr>
        <w:t>This is an advanced course in urban geographical theory.</w:t>
      </w:r>
      <w:r w:rsidR="00421745" w:rsidRPr="0084422F">
        <w:rPr>
          <w:rFonts w:ascii="Garamond" w:hAnsi="Garamond" w:cs="Arial"/>
          <w:color w:val="444444"/>
          <w:sz w:val="24"/>
          <w:szCs w:val="24"/>
          <w:shd w:val="clear" w:color="auto" w:fill="FFFFFF"/>
          <w:lang w:val="en-US"/>
        </w:rPr>
        <w:t xml:space="preserve"> Its aim is to explore urban theory through thematic excursions in the literature and in diverse field settings. The course includes five main themes, with associated reading lists: (1) </w:t>
      </w:r>
      <w:r w:rsidR="00421745" w:rsidRPr="0084422F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 xml:space="preserve">Urbanization and counter-trends; (2) </w:t>
      </w:r>
      <w:r w:rsidR="00421745"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Contemporary urbanism</w:t>
      </w:r>
      <w:r w:rsidR="00421745" w:rsidRPr="0084422F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 xml:space="preserve">; (3) </w:t>
      </w:r>
      <w:r w:rsidR="00421745"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Comparative urbanism</w:t>
      </w:r>
      <w:r w:rsidR="00421745" w:rsidRPr="0084422F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 xml:space="preserve">; (4) </w:t>
      </w:r>
      <w:r w:rsidR="00421745"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Divided cities, urban geopolitics and the challenge of social media</w:t>
      </w:r>
      <w:r w:rsidR="00421745" w:rsidRPr="0084422F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 xml:space="preserve">; (5) </w:t>
      </w:r>
      <w:r w:rsidR="00421745"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Segregation, neighbourhood effects and spaces of encounter</w:t>
      </w:r>
      <w:r w:rsidR="00421745" w:rsidRPr="0084422F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.</w:t>
      </w:r>
    </w:p>
    <w:p w14:paraId="69910CDC" w14:textId="77777777" w:rsidR="00421745" w:rsidRPr="00421745" w:rsidRDefault="00421745" w:rsidP="0084422F">
      <w:pPr>
        <w:spacing w:after="0"/>
        <w:rPr>
          <w:rFonts w:ascii="Garamond" w:hAnsi="Garamond" w:cs="Arial"/>
          <w:color w:val="444444"/>
          <w:sz w:val="24"/>
          <w:szCs w:val="24"/>
          <w:shd w:val="clear" w:color="auto" w:fill="FFFFFF"/>
          <w:lang w:val="en-US"/>
        </w:rPr>
      </w:pPr>
      <w:r w:rsidRPr="0084422F">
        <w:rPr>
          <w:rFonts w:ascii="Garamond" w:hAnsi="Garamond" w:cs="Arial"/>
          <w:color w:val="444444"/>
          <w:sz w:val="24"/>
          <w:szCs w:val="24"/>
          <w:shd w:val="clear" w:color="auto" w:fill="FFFFFF"/>
          <w:lang w:val="en-US"/>
        </w:rPr>
        <w:t xml:space="preserve">The learning outcomes are: (1) being able to </w:t>
      </w:r>
      <w:r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account for and discuss key concepts and theories in contemporary urban social geography</w:t>
      </w:r>
      <w:r w:rsidRPr="0084422F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;</w:t>
      </w:r>
      <w:r w:rsidRPr="0084422F">
        <w:rPr>
          <w:rFonts w:ascii="Garamond" w:hAnsi="Garamond" w:cs="Arial"/>
          <w:color w:val="444444"/>
          <w:sz w:val="24"/>
          <w:szCs w:val="24"/>
          <w:shd w:val="clear" w:color="auto" w:fill="FFFFFF"/>
          <w:lang w:val="en-US"/>
        </w:rPr>
        <w:t xml:space="preserve"> (2) to </w:t>
      </w:r>
      <w:r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explain the correlation between economic and societal development and various kinds of urban differentiation processes and patterns</w:t>
      </w:r>
      <w:r w:rsidRPr="0084422F">
        <w:rPr>
          <w:rFonts w:ascii="Garamond" w:hAnsi="Garamond" w:cs="Arial"/>
          <w:color w:val="444444"/>
          <w:sz w:val="24"/>
          <w:szCs w:val="24"/>
          <w:shd w:val="clear" w:color="auto" w:fill="FFFFFF"/>
          <w:lang w:val="en-US"/>
        </w:rPr>
        <w:t xml:space="preserve">, (3) to </w:t>
      </w:r>
      <w:r w:rsidRPr="00421745">
        <w:rPr>
          <w:rFonts w:ascii="Garamond" w:eastAsia="Times New Roman" w:hAnsi="Garamond" w:cs="Arial"/>
          <w:color w:val="444444"/>
          <w:sz w:val="24"/>
          <w:szCs w:val="24"/>
          <w:lang w:val="en-US" w:eastAsia="sv-SE"/>
        </w:rPr>
        <w:t>explain and provide examples of how different processes take shape at different geographical levels.</w:t>
      </w:r>
    </w:p>
    <w:p w14:paraId="7CA74296" w14:textId="77777777" w:rsidR="00FB740E" w:rsidRPr="0084422F" w:rsidRDefault="00FB740E" w:rsidP="0084422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7B27F8F" w14:textId="77777777" w:rsidR="00421745" w:rsidRPr="0084422F" w:rsidRDefault="00421745" w:rsidP="0084422F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84422F">
        <w:rPr>
          <w:rFonts w:ascii="Garamond" w:hAnsi="Garamond"/>
          <w:b/>
          <w:sz w:val="24"/>
          <w:szCs w:val="24"/>
          <w:lang w:val="en-US"/>
        </w:rPr>
        <w:t>The exam</w:t>
      </w:r>
      <w:r w:rsidR="00D93949">
        <w:rPr>
          <w:rFonts w:ascii="Garamond" w:hAnsi="Garamond"/>
          <w:b/>
          <w:sz w:val="24"/>
          <w:szCs w:val="24"/>
          <w:lang w:val="en-US"/>
        </w:rPr>
        <w:t xml:space="preserve"> paper</w:t>
      </w:r>
    </w:p>
    <w:p w14:paraId="55D46F95" w14:textId="77777777" w:rsidR="00421745" w:rsidRDefault="00421745" w:rsidP="0084422F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The exam for HGO4201 consists of a term paper with a given topic. The students were given the opportunity to choose one, and only one, of the following topics:</w:t>
      </w:r>
    </w:p>
    <w:p w14:paraId="44942A3F" w14:textId="77777777" w:rsidR="0007625E" w:rsidRPr="0084422F" w:rsidRDefault="0007625E" w:rsidP="0084422F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2A350C7F" w14:textId="77777777" w:rsidR="0007625E" w:rsidRPr="0007625E" w:rsidRDefault="0007625E" w:rsidP="0007625E">
      <w:pPr>
        <w:pStyle w:val="Default"/>
        <w:rPr>
          <w:rFonts w:ascii="Garamond" w:hAnsi="Garamond"/>
        </w:rPr>
      </w:pPr>
      <w:r w:rsidRPr="0007625E">
        <w:rPr>
          <w:rFonts w:ascii="Garamond" w:hAnsi="Garamond"/>
        </w:rPr>
        <w:t>1. Understanding the empirical-theoretical challenge of new comparative urbanism:</w:t>
      </w:r>
    </w:p>
    <w:p w14:paraId="502D1C42" w14:textId="77777777" w:rsidR="0007625E" w:rsidRPr="0007625E" w:rsidRDefault="0007625E" w:rsidP="0007625E">
      <w:pPr>
        <w:pStyle w:val="Default"/>
        <w:rPr>
          <w:rFonts w:ascii="Garamond" w:hAnsi="Garamond"/>
        </w:rPr>
      </w:pPr>
      <w:r w:rsidRPr="0007625E">
        <w:rPr>
          <w:rFonts w:ascii="Garamond" w:hAnsi="Garamond"/>
        </w:rPr>
        <w:t>arguments in favour and against</w:t>
      </w:r>
    </w:p>
    <w:p w14:paraId="6DA1EBB0" w14:textId="77777777" w:rsidR="0007625E" w:rsidRPr="0007625E" w:rsidRDefault="0007625E" w:rsidP="0007625E">
      <w:pPr>
        <w:pStyle w:val="Default"/>
        <w:rPr>
          <w:rFonts w:ascii="Garamond" w:hAnsi="Garamond"/>
        </w:rPr>
      </w:pPr>
      <w:r w:rsidRPr="0007625E">
        <w:rPr>
          <w:rFonts w:ascii="Garamond" w:hAnsi="Garamond"/>
        </w:rPr>
        <w:t>2. Post-suburban processes</w:t>
      </w:r>
    </w:p>
    <w:p w14:paraId="77DBA55D" w14:textId="77777777" w:rsidR="0007625E" w:rsidRPr="0007625E" w:rsidRDefault="0007625E" w:rsidP="0007625E">
      <w:pPr>
        <w:pStyle w:val="Default"/>
        <w:rPr>
          <w:rFonts w:ascii="Garamond" w:hAnsi="Garamond"/>
        </w:rPr>
      </w:pPr>
      <w:r w:rsidRPr="0007625E">
        <w:rPr>
          <w:rFonts w:ascii="Garamond" w:hAnsi="Garamond"/>
        </w:rPr>
        <w:t>3. A comparative analysis of Nordic and [insert adjective referring to country or region</w:t>
      </w:r>
    </w:p>
    <w:p w14:paraId="4063C650" w14:textId="77777777" w:rsidR="0007625E" w:rsidRPr="0007625E" w:rsidRDefault="0007625E" w:rsidP="0007625E">
      <w:pPr>
        <w:pStyle w:val="Default"/>
        <w:rPr>
          <w:rFonts w:ascii="Garamond" w:hAnsi="Garamond"/>
        </w:rPr>
      </w:pPr>
      <w:r w:rsidRPr="0007625E">
        <w:rPr>
          <w:rFonts w:ascii="Garamond" w:hAnsi="Garamond"/>
        </w:rPr>
        <w:t>of your choice, e.g. “Swiss” or “Balkan”] urban residential segregation</w:t>
      </w:r>
    </w:p>
    <w:p w14:paraId="62AEAE8A" w14:textId="4EBBC9B2" w:rsidR="00D51345" w:rsidRDefault="0007625E" w:rsidP="0007625E">
      <w:pPr>
        <w:pStyle w:val="Default"/>
        <w:rPr>
          <w:rFonts w:ascii="Garamond" w:hAnsi="Garamond"/>
        </w:rPr>
      </w:pPr>
      <w:r w:rsidRPr="0007625E">
        <w:rPr>
          <w:rFonts w:ascii="Garamond" w:hAnsi="Garamond"/>
        </w:rPr>
        <w:t>4. Cities, information, and the post-truth era</w:t>
      </w:r>
    </w:p>
    <w:p w14:paraId="5DE7B403" w14:textId="77777777" w:rsidR="0007625E" w:rsidRDefault="0007625E" w:rsidP="0007625E">
      <w:pPr>
        <w:pStyle w:val="Default"/>
        <w:rPr>
          <w:rFonts w:ascii="Garamond" w:hAnsi="Garamond"/>
        </w:rPr>
      </w:pPr>
    </w:p>
    <w:p w14:paraId="0095FB32" w14:textId="584B87C1" w:rsidR="0007625E" w:rsidRPr="0007625E" w:rsidRDefault="0007625E" w:rsidP="0007625E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The students have been informed and reminded on multiple occasions that they are expected to write about these topics in a </w:t>
      </w:r>
      <w:r w:rsidRPr="0007625E">
        <w:rPr>
          <w:rFonts w:ascii="Garamond" w:hAnsi="Garamond"/>
          <w:i/>
          <w:iCs/>
        </w:rPr>
        <w:t>general</w:t>
      </w:r>
      <w:r>
        <w:rPr>
          <w:rFonts w:ascii="Garamond" w:hAnsi="Garamond"/>
        </w:rPr>
        <w:t xml:space="preserve"> manner. Papers that conduct specific case studies, and papers which are limited to a sub-topic within the topic, are not acceptable.  In other words, </w:t>
      </w:r>
      <w:r w:rsidRPr="00C54632">
        <w:rPr>
          <w:rFonts w:ascii="Garamond" w:hAnsi="Garamond"/>
          <w:b/>
          <w:bCs/>
        </w:rPr>
        <w:t xml:space="preserve">the list of topics is also the list of </w:t>
      </w:r>
      <w:r w:rsidR="00C54632">
        <w:rPr>
          <w:rFonts w:ascii="Garamond" w:hAnsi="Garamond"/>
          <w:b/>
          <w:bCs/>
        </w:rPr>
        <w:t xml:space="preserve">possible </w:t>
      </w:r>
      <w:r w:rsidRPr="00C54632">
        <w:rPr>
          <w:rFonts w:ascii="Garamond" w:hAnsi="Garamond"/>
          <w:b/>
          <w:bCs/>
        </w:rPr>
        <w:t>titles</w:t>
      </w:r>
      <w:r w:rsidR="00C54632">
        <w:rPr>
          <w:rFonts w:ascii="Garamond" w:hAnsi="Garamond"/>
          <w:b/>
          <w:bCs/>
        </w:rPr>
        <w:t xml:space="preserve"> for the paper, and the contents of the paper should reflect this general title</w:t>
      </w:r>
      <w:r>
        <w:rPr>
          <w:rFonts w:ascii="Garamond" w:hAnsi="Garamond"/>
        </w:rPr>
        <w:t>.</w:t>
      </w:r>
      <w:r w:rsidR="00C54632">
        <w:rPr>
          <w:rFonts w:ascii="Garamond" w:hAnsi="Garamond"/>
        </w:rPr>
        <w:t xml:space="preserve"> To illustrate, if the paper is supposed to be about training dogs, it can’t be narrowed down to the literature on training Labrador retrievers.</w:t>
      </w:r>
    </w:p>
    <w:p w14:paraId="74C7B6B5" w14:textId="293018B7" w:rsidR="00D51345" w:rsidRPr="0007625E" w:rsidRDefault="00D51345" w:rsidP="0007625E">
      <w:pPr>
        <w:pStyle w:val="Default"/>
      </w:pPr>
    </w:p>
    <w:p w14:paraId="5C779FDC" w14:textId="66E7CDA2" w:rsidR="00421745" w:rsidRPr="0084422F" w:rsidRDefault="00421745" w:rsidP="0084422F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 xml:space="preserve">The </w:t>
      </w:r>
      <w:r w:rsidR="00D93949">
        <w:rPr>
          <w:rFonts w:ascii="Garamond" w:hAnsi="Garamond"/>
          <w:sz w:val="24"/>
          <w:szCs w:val="24"/>
          <w:lang w:val="en-US"/>
        </w:rPr>
        <w:t>exam</w:t>
      </w:r>
      <w:r w:rsidRPr="0084422F">
        <w:rPr>
          <w:rFonts w:ascii="Garamond" w:hAnsi="Garamond"/>
          <w:sz w:val="24"/>
          <w:szCs w:val="24"/>
          <w:lang w:val="en-US"/>
        </w:rPr>
        <w:t xml:space="preserve"> paper must demonstrate active engagement with relevant parts of the course syllabus, as well as with additional</w:t>
      </w:r>
      <w:r w:rsidR="0007625E">
        <w:rPr>
          <w:rFonts w:ascii="Garamond" w:hAnsi="Garamond"/>
          <w:sz w:val="24"/>
          <w:szCs w:val="24"/>
          <w:lang w:val="en-US"/>
        </w:rPr>
        <w:t xml:space="preserve"> (ca 15-20)</w:t>
      </w:r>
      <w:r w:rsidRPr="0084422F">
        <w:rPr>
          <w:rFonts w:ascii="Garamond" w:hAnsi="Garamond"/>
          <w:sz w:val="24"/>
          <w:szCs w:val="24"/>
          <w:lang w:val="en-US"/>
        </w:rPr>
        <w:t xml:space="preserve"> </w:t>
      </w:r>
      <w:r w:rsidR="00AA6193" w:rsidRPr="00AA6193">
        <w:rPr>
          <w:rFonts w:ascii="Garamond" w:hAnsi="Garamond"/>
          <w:i/>
          <w:sz w:val="24"/>
          <w:szCs w:val="24"/>
          <w:lang w:val="en-US"/>
        </w:rPr>
        <w:t>scientific</w:t>
      </w:r>
      <w:r w:rsidR="00AA6193">
        <w:rPr>
          <w:rFonts w:ascii="Garamond" w:hAnsi="Garamond"/>
          <w:sz w:val="24"/>
          <w:szCs w:val="24"/>
          <w:lang w:val="en-US"/>
        </w:rPr>
        <w:t xml:space="preserve"> </w:t>
      </w:r>
      <w:r w:rsidRPr="0084422F">
        <w:rPr>
          <w:rFonts w:ascii="Garamond" w:hAnsi="Garamond"/>
          <w:sz w:val="24"/>
          <w:szCs w:val="24"/>
          <w:lang w:val="en-US"/>
        </w:rPr>
        <w:t xml:space="preserve">sources </w:t>
      </w:r>
      <w:r w:rsidR="00AA6193">
        <w:rPr>
          <w:rFonts w:ascii="Garamond" w:hAnsi="Garamond"/>
          <w:sz w:val="24"/>
          <w:szCs w:val="24"/>
          <w:lang w:val="en-US"/>
        </w:rPr>
        <w:t xml:space="preserve">(mainly articles) </w:t>
      </w:r>
      <w:r w:rsidRPr="0084422F">
        <w:rPr>
          <w:rFonts w:ascii="Garamond" w:hAnsi="Garamond"/>
          <w:sz w:val="24"/>
          <w:szCs w:val="24"/>
          <w:lang w:val="en-US"/>
        </w:rPr>
        <w:t xml:space="preserve">of relevance to the chosen topic. </w:t>
      </w:r>
      <w:r w:rsidR="00F11BDA" w:rsidRPr="0084422F">
        <w:rPr>
          <w:rFonts w:ascii="Garamond" w:hAnsi="Garamond"/>
          <w:b/>
          <w:sz w:val="24"/>
          <w:szCs w:val="24"/>
          <w:lang w:val="en-US"/>
        </w:rPr>
        <w:t>Its substance should largely consist of a literature review on the given topic</w:t>
      </w:r>
      <w:r w:rsidR="00F11BDA" w:rsidRPr="0084422F">
        <w:rPr>
          <w:rFonts w:ascii="Garamond" w:hAnsi="Garamond"/>
          <w:sz w:val="24"/>
          <w:szCs w:val="24"/>
          <w:lang w:val="en-US"/>
        </w:rPr>
        <w:t>.</w:t>
      </w:r>
    </w:p>
    <w:p w14:paraId="743C8F70" w14:textId="3A9F87CD" w:rsidR="00F11BDA" w:rsidRPr="0084422F" w:rsidRDefault="00F11BDA" w:rsidP="0084422F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The length of the paper should be</w:t>
      </w:r>
      <w:r w:rsidR="0007625E">
        <w:rPr>
          <w:rFonts w:ascii="Garamond" w:hAnsi="Garamond"/>
          <w:sz w:val="24"/>
          <w:szCs w:val="24"/>
          <w:lang w:val="en-US"/>
        </w:rPr>
        <w:t xml:space="preserve"> of about 5000 words. I</w:t>
      </w:r>
      <w:r w:rsidRPr="0084422F">
        <w:rPr>
          <w:rFonts w:ascii="Garamond" w:hAnsi="Garamond"/>
          <w:sz w:val="24"/>
          <w:szCs w:val="24"/>
          <w:lang w:val="en-US"/>
        </w:rPr>
        <w:t xml:space="preserve">n </w:t>
      </w:r>
      <w:r w:rsidR="0007625E">
        <w:rPr>
          <w:rFonts w:ascii="Garamond" w:hAnsi="Garamond"/>
          <w:sz w:val="24"/>
          <w:szCs w:val="24"/>
          <w:lang w:val="en-US"/>
        </w:rPr>
        <w:t>practice, a</w:t>
      </w:r>
      <w:r w:rsidRPr="0084422F">
        <w:rPr>
          <w:rFonts w:ascii="Garamond" w:hAnsi="Garamond"/>
          <w:sz w:val="24"/>
          <w:szCs w:val="24"/>
          <w:lang w:val="en-US"/>
        </w:rPr>
        <w:t xml:space="preserve"> range of 4000-6000 words (</w:t>
      </w:r>
      <w:r w:rsidRPr="0084422F">
        <w:rPr>
          <w:rFonts w:ascii="Garamond" w:hAnsi="Garamond"/>
          <w:i/>
          <w:sz w:val="24"/>
          <w:szCs w:val="24"/>
          <w:lang w:val="en-US"/>
        </w:rPr>
        <w:t>excluding</w:t>
      </w:r>
      <w:r w:rsidRPr="0084422F">
        <w:rPr>
          <w:rFonts w:ascii="Garamond" w:hAnsi="Garamond"/>
          <w:sz w:val="24"/>
          <w:szCs w:val="24"/>
          <w:lang w:val="en-US"/>
        </w:rPr>
        <w:t xml:space="preserve"> references)</w:t>
      </w:r>
      <w:r w:rsidR="0007625E">
        <w:rPr>
          <w:rFonts w:ascii="Garamond" w:hAnsi="Garamond"/>
          <w:sz w:val="24"/>
          <w:szCs w:val="24"/>
          <w:lang w:val="en-US"/>
        </w:rPr>
        <w:t xml:space="preserve"> is acceptable</w:t>
      </w:r>
      <w:r w:rsidRPr="0084422F">
        <w:rPr>
          <w:rFonts w:ascii="Garamond" w:hAnsi="Garamond"/>
          <w:sz w:val="24"/>
          <w:szCs w:val="24"/>
          <w:lang w:val="en-US"/>
        </w:rPr>
        <w:t>.</w:t>
      </w:r>
    </w:p>
    <w:p w14:paraId="5257B7B1" w14:textId="77777777" w:rsidR="0084422F" w:rsidRDefault="0084422F" w:rsidP="0084422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0A2EF2D2" w14:textId="77777777" w:rsidR="00F11BDA" w:rsidRPr="0084422F" w:rsidRDefault="00421745" w:rsidP="0084422F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A good HGO4</w:t>
      </w:r>
      <w:r w:rsidR="00F11BDA" w:rsidRPr="0084422F">
        <w:rPr>
          <w:rFonts w:ascii="Garamond" w:hAnsi="Garamond"/>
          <w:sz w:val="24"/>
          <w:szCs w:val="24"/>
          <w:lang w:val="en-US"/>
        </w:rPr>
        <w:t>2</w:t>
      </w:r>
      <w:r w:rsidRPr="0084422F">
        <w:rPr>
          <w:rFonts w:ascii="Garamond" w:hAnsi="Garamond"/>
          <w:sz w:val="24"/>
          <w:szCs w:val="24"/>
          <w:lang w:val="en-US"/>
        </w:rPr>
        <w:t>01</w:t>
      </w:r>
      <w:r w:rsidR="00D93949">
        <w:rPr>
          <w:rFonts w:ascii="Garamond" w:hAnsi="Garamond"/>
          <w:sz w:val="24"/>
          <w:szCs w:val="24"/>
          <w:lang w:val="en-US"/>
        </w:rPr>
        <w:t xml:space="preserve"> exam</w:t>
      </w:r>
      <w:r w:rsidRPr="0084422F">
        <w:rPr>
          <w:rFonts w:ascii="Garamond" w:hAnsi="Garamond"/>
          <w:sz w:val="24"/>
          <w:szCs w:val="24"/>
          <w:lang w:val="en-US"/>
        </w:rPr>
        <w:t xml:space="preserve"> paper</w:t>
      </w:r>
      <w:r w:rsidR="00F11BDA" w:rsidRPr="0084422F">
        <w:rPr>
          <w:rFonts w:ascii="Garamond" w:hAnsi="Garamond"/>
          <w:sz w:val="24"/>
          <w:szCs w:val="24"/>
          <w:lang w:val="en-US"/>
        </w:rPr>
        <w:t>:</w:t>
      </w:r>
    </w:p>
    <w:p w14:paraId="46261CE2" w14:textId="77777777" w:rsidR="00421745" w:rsidRPr="00D93949" w:rsidRDefault="00F11BDA" w:rsidP="00D93949">
      <w:pPr>
        <w:pStyle w:val="Listeavsnit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  <w:lang w:val="en-US"/>
        </w:rPr>
      </w:pPr>
      <w:r w:rsidRPr="00D93949">
        <w:rPr>
          <w:rFonts w:ascii="Garamond" w:hAnsi="Garamond"/>
          <w:sz w:val="24"/>
          <w:szCs w:val="24"/>
          <w:lang w:val="en-US"/>
        </w:rPr>
        <w:t>Is f</w:t>
      </w:r>
      <w:r w:rsidR="00421745" w:rsidRPr="00D93949">
        <w:rPr>
          <w:rFonts w:ascii="Garamond" w:hAnsi="Garamond"/>
          <w:sz w:val="24"/>
          <w:szCs w:val="24"/>
          <w:lang w:val="en-US"/>
        </w:rPr>
        <w:t>ocused, systematic, clear and well structured.</w:t>
      </w:r>
      <w:r w:rsidRPr="00D93949">
        <w:rPr>
          <w:rFonts w:ascii="Garamond" w:hAnsi="Garamond"/>
          <w:sz w:val="24"/>
          <w:szCs w:val="24"/>
          <w:lang w:val="en-US"/>
        </w:rPr>
        <w:t xml:space="preserve"> </w:t>
      </w:r>
    </w:p>
    <w:p w14:paraId="3F2EE597" w14:textId="77777777" w:rsidR="00F11BDA" w:rsidRPr="0084422F" w:rsidRDefault="00AA6193" w:rsidP="0084422F">
      <w:pPr>
        <w:pStyle w:val="Listeavsnit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Comprehensively discusses the</w:t>
      </w:r>
      <w:r w:rsidR="00F11BDA" w:rsidRPr="0084422F">
        <w:rPr>
          <w:rFonts w:ascii="Garamond" w:hAnsi="Garamond"/>
          <w:sz w:val="24"/>
          <w:szCs w:val="24"/>
          <w:lang w:val="en-US"/>
        </w:rPr>
        <w:t xml:space="preserve"> literature in relation to the selected topic (</w:t>
      </w:r>
      <w:r>
        <w:rPr>
          <w:rFonts w:ascii="Garamond" w:hAnsi="Garamond"/>
          <w:sz w:val="24"/>
          <w:szCs w:val="24"/>
          <w:lang w:val="en-US"/>
        </w:rPr>
        <w:t>comprehensive</w:t>
      </w:r>
      <w:r w:rsidR="00F11BDA" w:rsidRPr="0084422F">
        <w:rPr>
          <w:rFonts w:ascii="Garamond" w:hAnsi="Garamond"/>
          <w:sz w:val="24"/>
          <w:szCs w:val="24"/>
          <w:lang w:val="en-US"/>
        </w:rPr>
        <w:t xml:space="preserve"> in the sense that the literature covered should not be restricted to singular perspectives, approaches or schools).</w:t>
      </w:r>
    </w:p>
    <w:p w14:paraId="052AA362" w14:textId="77777777" w:rsidR="00F11BDA" w:rsidRPr="0084422F" w:rsidRDefault="00F11BDA" w:rsidP="0084422F">
      <w:pPr>
        <w:pStyle w:val="Listeavsnit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P</w:t>
      </w:r>
      <w:r w:rsidR="00421745" w:rsidRPr="0084422F">
        <w:rPr>
          <w:rFonts w:ascii="Garamond" w:hAnsi="Garamond"/>
          <w:sz w:val="24"/>
          <w:szCs w:val="24"/>
          <w:lang w:val="en-US"/>
        </w:rPr>
        <w:t>rovides a coherent and relevant discussion</w:t>
      </w:r>
      <w:r w:rsidRPr="0084422F">
        <w:rPr>
          <w:rFonts w:ascii="Garamond" w:hAnsi="Garamond"/>
          <w:sz w:val="24"/>
          <w:szCs w:val="24"/>
          <w:lang w:val="en-US"/>
        </w:rPr>
        <w:t xml:space="preserve"> of the literature</w:t>
      </w:r>
      <w:r w:rsidR="00421745" w:rsidRPr="0084422F">
        <w:rPr>
          <w:rFonts w:ascii="Garamond" w:hAnsi="Garamond"/>
          <w:sz w:val="24"/>
          <w:szCs w:val="24"/>
          <w:lang w:val="en-US"/>
        </w:rPr>
        <w:t xml:space="preserve">, assessing and contrasting </w:t>
      </w:r>
      <w:r w:rsidRPr="0084422F">
        <w:rPr>
          <w:rFonts w:ascii="Garamond" w:hAnsi="Garamond"/>
          <w:sz w:val="24"/>
          <w:szCs w:val="24"/>
          <w:lang w:val="en-US"/>
        </w:rPr>
        <w:t xml:space="preserve">the </w:t>
      </w:r>
      <w:r w:rsidR="00421745" w:rsidRPr="0084422F">
        <w:rPr>
          <w:rFonts w:ascii="Garamond" w:hAnsi="Garamond"/>
          <w:sz w:val="24"/>
          <w:szCs w:val="24"/>
          <w:lang w:val="en-US"/>
        </w:rPr>
        <w:t>presented material.</w:t>
      </w:r>
    </w:p>
    <w:p w14:paraId="4FCA8BB1" w14:textId="77777777" w:rsidR="00421745" w:rsidRPr="0084422F" w:rsidRDefault="00421745" w:rsidP="0084422F">
      <w:pPr>
        <w:pStyle w:val="Listeavsnit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Has a complete and consistent list of references</w:t>
      </w:r>
      <w:r w:rsidR="00F11BDA" w:rsidRPr="0084422F">
        <w:rPr>
          <w:rFonts w:ascii="Garamond" w:hAnsi="Garamond"/>
          <w:sz w:val="24"/>
          <w:szCs w:val="24"/>
          <w:lang w:val="en-US"/>
        </w:rPr>
        <w:t>, and is characterized by proper referencing throughout</w:t>
      </w:r>
      <w:r w:rsidRPr="0084422F">
        <w:rPr>
          <w:rFonts w:ascii="Garamond" w:hAnsi="Garamond"/>
          <w:sz w:val="24"/>
          <w:szCs w:val="24"/>
          <w:lang w:val="en-US"/>
        </w:rPr>
        <w:t>.</w:t>
      </w:r>
    </w:p>
    <w:p w14:paraId="285DDBC5" w14:textId="77777777" w:rsidR="00F11BDA" w:rsidRPr="0084422F" w:rsidRDefault="00F11BDA" w:rsidP="0084422F">
      <w:pPr>
        <w:pStyle w:val="Listeavsnitt"/>
        <w:spacing w:after="0"/>
        <w:rPr>
          <w:rFonts w:ascii="Garamond" w:hAnsi="Garamond"/>
          <w:sz w:val="24"/>
          <w:szCs w:val="24"/>
          <w:lang w:val="en-US"/>
        </w:rPr>
      </w:pPr>
    </w:p>
    <w:p w14:paraId="33C4DF92" w14:textId="77777777" w:rsidR="00421745" w:rsidRPr="0084422F" w:rsidRDefault="00421745" w:rsidP="0084422F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 xml:space="preserve">Based on the above, the following aspects will </w:t>
      </w:r>
      <w:r w:rsidRPr="00D93949">
        <w:rPr>
          <w:rFonts w:ascii="Garamond" w:hAnsi="Garamond"/>
          <w:b/>
          <w:sz w:val="24"/>
          <w:szCs w:val="24"/>
          <w:lang w:val="en-US"/>
        </w:rPr>
        <w:t>detract</w:t>
      </w:r>
      <w:r w:rsidRPr="0084422F">
        <w:rPr>
          <w:rFonts w:ascii="Garamond" w:hAnsi="Garamond"/>
          <w:sz w:val="24"/>
          <w:szCs w:val="24"/>
          <w:lang w:val="en-US"/>
        </w:rPr>
        <w:t xml:space="preserve"> from the grade:</w:t>
      </w:r>
    </w:p>
    <w:p w14:paraId="22C1B710" w14:textId="77777777" w:rsidR="00F11BDA" w:rsidRPr="0084422F" w:rsidRDefault="00421745" w:rsidP="00D93949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 xml:space="preserve">- </w:t>
      </w:r>
      <w:r w:rsidR="00F11BDA" w:rsidRPr="0084422F">
        <w:rPr>
          <w:rFonts w:ascii="Garamond" w:hAnsi="Garamond"/>
          <w:sz w:val="24"/>
          <w:szCs w:val="24"/>
          <w:lang w:val="en-US"/>
        </w:rPr>
        <w:t>Insufficient</w:t>
      </w:r>
      <w:r w:rsidRPr="0084422F">
        <w:rPr>
          <w:rFonts w:ascii="Garamond" w:hAnsi="Garamond"/>
          <w:sz w:val="24"/>
          <w:szCs w:val="24"/>
          <w:lang w:val="en-US"/>
        </w:rPr>
        <w:t xml:space="preserve"> use of the course syllabus</w:t>
      </w:r>
      <w:r w:rsidR="00AA6193">
        <w:rPr>
          <w:rFonts w:ascii="Garamond" w:hAnsi="Garamond"/>
          <w:sz w:val="24"/>
          <w:szCs w:val="24"/>
          <w:lang w:val="en-US"/>
        </w:rPr>
        <w:t xml:space="preserve"> and of supplementary sources</w:t>
      </w:r>
      <w:r w:rsidRPr="0084422F">
        <w:rPr>
          <w:rFonts w:ascii="Garamond" w:hAnsi="Garamond"/>
          <w:sz w:val="24"/>
          <w:szCs w:val="24"/>
          <w:lang w:val="en-US"/>
        </w:rPr>
        <w:t>.</w:t>
      </w:r>
    </w:p>
    <w:p w14:paraId="7C989E2D" w14:textId="77777777" w:rsidR="00F11BDA" w:rsidRPr="0084422F" w:rsidRDefault="00F11BDA" w:rsidP="00D93949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 xml:space="preserve">- </w:t>
      </w:r>
      <w:r w:rsidR="00421745" w:rsidRPr="0084422F">
        <w:rPr>
          <w:rFonts w:ascii="Garamond" w:hAnsi="Garamond"/>
          <w:sz w:val="24"/>
          <w:szCs w:val="24"/>
          <w:lang w:val="en-US"/>
        </w:rPr>
        <w:t>Weak coherence, structure and analysis.</w:t>
      </w:r>
    </w:p>
    <w:p w14:paraId="05F91B7D" w14:textId="77777777" w:rsidR="0084422F" w:rsidRPr="0084422F" w:rsidRDefault="00421745" w:rsidP="00D93949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 xml:space="preserve">- </w:t>
      </w:r>
      <w:r w:rsidR="00F11BDA" w:rsidRPr="0084422F">
        <w:rPr>
          <w:rFonts w:ascii="Garamond" w:hAnsi="Garamond"/>
          <w:sz w:val="24"/>
          <w:szCs w:val="24"/>
          <w:lang w:val="en-US"/>
        </w:rPr>
        <w:t>Poor engagement with the literature</w:t>
      </w:r>
      <w:r w:rsidR="00D93949">
        <w:rPr>
          <w:rFonts w:ascii="Garamond" w:hAnsi="Garamond"/>
          <w:sz w:val="24"/>
          <w:szCs w:val="24"/>
          <w:lang w:val="en-US"/>
        </w:rPr>
        <w:t xml:space="preserve"> (e.g. solely descriptive account of what the sources say)</w:t>
      </w:r>
      <w:r w:rsidR="00AA6193">
        <w:rPr>
          <w:rFonts w:ascii="Garamond" w:hAnsi="Garamond"/>
          <w:sz w:val="24"/>
          <w:szCs w:val="24"/>
          <w:lang w:val="en-US"/>
        </w:rPr>
        <w:t>.</w:t>
      </w:r>
    </w:p>
    <w:p w14:paraId="40A036B1" w14:textId="77777777" w:rsidR="0084422F" w:rsidRPr="0084422F" w:rsidRDefault="00421745" w:rsidP="00D93949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>- Incomplete or inconsistent use of references.</w:t>
      </w:r>
    </w:p>
    <w:p w14:paraId="5D5F0B8D" w14:textId="64A3CF74" w:rsidR="00421745" w:rsidRPr="0084422F" w:rsidRDefault="00421745" w:rsidP="00D93949">
      <w:pPr>
        <w:spacing w:after="0"/>
        <w:rPr>
          <w:rFonts w:ascii="Garamond" w:hAnsi="Garamond"/>
          <w:sz w:val="24"/>
          <w:szCs w:val="24"/>
          <w:lang w:val="en-US"/>
        </w:rPr>
      </w:pPr>
      <w:r w:rsidRPr="0084422F">
        <w:rPr>
          <w:rFonts w:ascii="Garamond" w:hAnsi="Garamond"/>
          <w:sz w:val="24"/>
          <w:szCs w:val="24"/>
          <w:lang w:val="en-US"/>
        </w:rPr>
        <w:t xml:space="preserve">- Length of paper is below </w:t>
      </w:r>
      <w:r w:rsidR="0007625E">
        <w:rPr>
          <w:rFonts w:ascii="Garamond" w:hAnsi="Garamond"/>
          <w:sz w:val="24"/>
          <w:szCs w:val="24"/>
          <w:lang w:val="en-US"/>
        </w:rPr>
        <w:t>4000</w:t>
      </w:r>
      <w:r w:rsidRPr="0084422F">
        <w:rPr>
          <w:rFonts w:ascii="Garamond" w:hAnsi="Garamond"/>
          <w:sz w:val="24"/>
          <w:szCs w:val="24"/>
          <w:lang w:val="en-US"/>
        </w:rPr>
        <w:t xml:space="preserve"> words</w:t>
      </w:r>
      <w:r w:rsidR="0084422F" w:rsidRPr="0084422F">
        <w:rPr>
          <w:rFonts w:ascii="Garamond" w:hAnsi="Garamond"/>
          <w:sz w:val="24"/>
          <w:szCs w:val="24"/>
          <w:lang w:val="en-US"/>
        </w:rPr>
        <w:t xml:space="preserve"> or above 6</w:t>
      </w:r>
      <w:r w:rsidR="0007625E">
        <w:rPr>
          <w:rFonts w:ascii="Garamond" w:hAnsi="Garamond"/>
          <w:sz w:val="24"/>
          <w:szCs w:val="24"/>
          <w:lang w:val="en-US"/>
        </w:rPr>
        <w:t>0</w:t>
      </w:r>
      <w:r w:rsidR="0084422F" w:rsidRPr="0084422F">
        <w:rPr>
          <w:rFonts w:ascii="Garamond" w:hAnsi="Garamond"/>
          <w:sz w:val="24"/>
          <w:szCs w:val="24"/>
          <w:lang w:val="en-US"/>
        </w:rPr>
        <w:t>00 words (excluding references)</w:t>
      </w:r>
      <w:r w:rsidRPr="0084422F">
        <w:rPr>
          <w:rFonts w:ascii="Garamond" w:hAnsi="Garamond"/>
          <w:sz w:val="24"/>
          <w:szCs w:val="24"/>
          <w:lang w:val="en-US"/>
        </w:rPr>
        <w:t>.</w:t>
      </w:r>
      <w:r w:rsidR="0007625E">
        <w:rPr>
          <w:rFonts w:ascii="Garamond" w:hAnsi="Garamond"/>
          <w:sz w:val="24"/>
          <w:szCs w:val="24"/>
          <w:lang w:val="en-US"/>
        </w:rPr>
        <w:t xml:space="preserve"> Length is not a goal in itself</w:t>
      </w:r>
      <w:r w:rsidR="00C54632">
        <w:rPr>
          <w:rFonts w:ascii="Garamond" w:hAnsi="Garamond"/>
          <w:sz w:val="24"/>
          <w:szCs w:val="24"/>
          <w:lang w:val="en-US"/>
        </w:rPr>
        <w:t>,</w:t>
      </w:r>
      <w:r w:rsidR="0007625E">
        <w:rPr>
          <w:rFonts w:ascii="Garamond" w:hAnsi="Garamond"/>
          <w:sz w:val="24"/>
          <w:szCs w:val="24"/>
          <w:lang w:val="en-US"/>
        </w:rPr>
        <w:t xml:space="preserve"> though, so a concisely written paper would be viewed more positively than one that reaches the high end of the word limit by being repetitive or unnecessarily wordy.</w:t>
      </w:r>
    </w:p>
    <w:p w14:paraId="224B059A" w14:textId="77777777" w:rsidR="00FB740E" w:rsidRPr="00C54632" w:rsidRDefault="00FB740E" w:rsidP="0084422F">
      <w:pPr>
        <w:spacing w:after="0"/>
        <w:rPr>
          <w:rFonts w:ascii="Garamond" w:hAnsi="Garamond"/>
          <w:sz w:val="24"/>
          <w:szCs w:val="24"/>
          <w:lang w:val="en-US"/>
        </w:rPr>
      </w:pPr>
    </w:p>
    <w:sectPr w:rsidR="00FB740E" w:rsidRPr="00C54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D6EB" w14:textId="77777777" w:rsidR="002B33B1" w:rsidRDefault="002B33B1" w:rsidP="00DC0510">
      <w:pPr>
        <w:spacing w:after="0" w:line="240" w:lineRule="auto"/>
      </w:pPr>
      <w:r>
        <w:separator/>
      </w:r>
    </w:p>
  </w:endnote>
  <w:endnote w:type="continuationSeparator" w:id="0">
    <w:p w14:paraId="0B1DCDBD" w14:textId="77777777" w:rsidR="002B33B1" w:rsidRDefault="002B33B1" w:rsidP="00DC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271676"/>
      <w:docPartObj>
        <w:docPartGallery w:val="Page Numbers (Bottom of Page)"/>
        <w:docPartUnique/>
      </w:docPartObj>
    </w:sdtPr>
    <w:sdtEndPr/>
    <w:sdtContent>
      <w:p w14:paraId="494A2675" w14:textId="77777777" w:rsidR="00DC0510" w:rsidRDefault="00DC0510" w:rsidP="00DC051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082" w14:textId="77777777" w:rsidR="002B33B1" w:rsidRDefault="002B33B1" w:rsidP="00DC0510">
      <w:pPr>
        <w:spacing w:after="0" w:line="240" w:lineRule="auto"/>
      </w:pPr>
      <w:r>
        <w:separator/>
      </w:r>
    </w:p>
  </w:footnote>
  <w:footnote w:type="continuationSeparator" w:id="0">
    <w:p w14:paraId="3228C299" w14:textId="77777777" w:rsidR="002B33B1" w:rsidRDefault="002B33B1" w:rsidP="00DC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177"/>
    <w:multiLevelType w:val="hybridMultilevel"/>
    <w:tmpl w:val="6B38DB8C"/>
    <w:lvl w:ilvl="0" w:tplc="3DAEB1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63C3"/>
    <w:multiLevelType w:val="hybridMultilevel"/>
    <w:tmpl w:val="1410F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3DDE"/>
    <w:multiLevelType w:val="hybridMultilevel"/>
    <w:tmpl w:val="337EE3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F34"/>
    <w:multiLevelType w:val="multilevel"/>
    <w:tmpl w:val="BDE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D31DB"/>
    <w:multiLevelType w:val="hybridMultilevel"/>
    <w:tmpl w:val="A5A8C3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C19"/>
    <w:multiLevelType w:val="hybridMultilevel"/>
    <w:tmpl w:val="22BC0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4BE"/>
    <w:multiLevelType w:val="hybridMultilevel"/>
    <w:tmpl w:val="D890C0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43DD9"/>
    <w:multiLevelType w:val="multilevel"/>
    <w:tmpl w:val="E21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A1CC9"/>
    <w:multiLevelType w:val="hybridMultilevel"/>
    <w:tmpl w:val="036459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52469">
    <w:abstractNumId w:val="1"/>
  </w:num>
  <w:num w:numId="2" w16cid:durableId="1103916370">
    <w:abstractNumId w:val="6"/>
  </w:num>
  <w:num w:numId="3" w16cid:durableId="1039545602">
    <w:abstractNumId w:val="4"/>
  </w:num>
  <w:num w:numId="4" w16cid:durableId="1431470077">
    <w:abstractNumId w:val="2"/>
  </w:num>
  <w:num w:numId="5" w16cid:durableId="555900718">
    <w:abstractNumId w:val="8"/>
  </w:num>
  <w:num w:numId="6" w16cid:durableId="1114986088">
    <w:abstractNumId w:val="7"/>
  </w:num>
  <w:num w:numId="7" w16cid:durableId="1393119585">
    <w:abstractNumId w:val="3"/>
  </w:num>
  <w:num w:numId="8" w16cid:durableId="722949544">
    <w:abstractNumId w:val="5"/>
  </w:num>
  <w:num w:numId="9" w16cid:durableId="158402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F"/>
    <w:rsid w:val="0007625E"/>
    <w:rsid w:val="000A4B10"/>
    <w:rsid w:val="001A2F49"/>
    <w:rsid w:val="001A6DAF"/>
    <w:rsid w:val="002A1A45"/>
    <w:rsid w:val="002B33B1"/>
    <w:rsid w:val="002E375B"/>
    <w:rsid w:val="00315226"/>
    <w:rsid w:val="004065FC"/>
    <w:rsid w:val="00421745"/>
    <w:rsid w:val="004402E2"/>
    <w:rsid w:val="00452D3D"/>
    <w:rsid w:val="004E2A0F"/>
    <w:rsid w:val="005220E8"/>
    <w:rsid w:val="00571621"/>
    <w:rsid w:val="00573EFE"/>
    <w:rsid w:val="005837A9"/>
    <w:rsid w:val="005862FB"/>
    <w:rsid w:val="005E1815"/>
    <w:rsid w:val="00604A18"/>
    <w:rsid w:val="00656089"/>
    <w:rsid w:val="00661306"/>
    <w:rsid w:val="006623B0"/>
    <w:rsid w:val="00692F51"/>
    <w:rsid w:val="006F35D8"/>
    <w:rsid w:val="007A29AB"/>
    <w:rsid w:val="007D3BB4"/>
    <w:rsid w:val="007F5B32"/>
    <w:rsid w:val="0084422F"/>
    <w:rsid w:val="008C3E49"/>
    <w:rsid w:val="00904184"/>
    <w:rsid w:val="009079BC"/>
    <w:rsid w:val="00925F31"/>
    <w:rsid w:val="0094704F"/>
    <w:rsid w:val="009541A6"/>
    <w:rsid w:val="009D267D"/>
    <w:rsid w:val="00A0752F"/>
    <w:rsid w:val="00A230A5"/>
    <w:rsid w:val="00A64723"/>
    <w:rsid w:val="00AA6193"/>
    <w:rsid w:val="00AB7AEA"/>
    <w:rsid w:val="00AD1D6A"/>
    <w:rsid w:val="00AE2F59"/>
    <w:rsid w:val="00B12B19"/>
    <w:rsid w:val="00C423B9"/>
    <w:rsid w:val="00C54632"/>
    <w:rsid w:val="00C91D71"/>
    <w:rsid w:val="00CD2400"/>
    <w:rsid w:val="00CE68F2"/>
    <w:rsid w:val="00D2520E"/>
    <w:rsid w:val="00D51345"/>
    <w:rsid w:val="00D93949"/>
    <w:rsid w:val="00DB29BE"/>
    <w:rsid w:val="00DC0510"/>
    <w:rsid w:val="00DC7D1A"/>
    <w:rsid w:val="00DE44B1"/>
    <w:rsid w:val="00E01BBF"/>
    <w:rsid w:val="00EF7867"/>
    <w:rsid w:val="00F11BDA"/>
    <w:rsid w:val="00F606CC"/>
    <w:rsid w:val="00F66CC8"/>
    <w:rsid w:val="00FA658B"/>
    <w:rsid w:val="00FB740E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0491"/>
  <w15:chartTrackingRefBased/>
  <w15:docId w15:val="{38C32B0C-56D1-4AFE-82C3-958FEAA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B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65F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740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B12B1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4704F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C05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C051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C051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DC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0510"/>
  </w:style>
  <w:style w:type="paragraph" w:styleId="Bunntekst">
    <w:name w:val="footer"/>
    <w:basedOn w:val="Normal"/>
    <w:link w:val="BunntekstTegn"/>
    <w:uiPriority w:val="99"/>
    <w:unhideWhenUsed/>
    <w:rsid w:val="00DC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0510"/>
  </w:style>
  <w:style w:type="paragraph" w:styleId="Bobletekst">
    <w:name w:val="Balloon Text"/>
    <w:basedOn w:val="Normal"/>
    <w:link w:val="BobletekstTegn"/>
    <w:uiPriority w:val="99"/>
    <w:semiHidden/>
    <w:unhideWhenUsed/>
    <w:rsid w:val="007F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5B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3129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Garcia-Godos</dc:creator>
  <cp:keywords/>
  <dc:description/>
  <cp:lastModifiedBy>Camilla Kongsli</cp:lastModifiedBy>
  <cp:revision>2</cp:revision>
  <cp:lastPrinted>2018-11-21T13:17:00Z</cp:lastPrinted>
  <dcterms:created xsi:type="dcterms:W3CDTF">2023-11-03T12:14:00Z</dcterms:created>
  <dcterms:modified xsi:type="dcterms:W3CDTF">2023-11-03T12:14:00Z</dcterms:modified>
</cp:coreProperties>
</file>