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88" w:rsidRPr="003F6A38" w:rsidRDefault="00F85088" w:rsidP="00F85088">
      <w:pPr>
        <w:pStyle w:val="Default"/>
        <w:rPr>
          <w:b/>
          <w:sz w:val="28"/>
          <w:szCs w:val="28"/>
        </w:rPr>
      </w:pPr>
      <w:r w:rsidRPr="003F6A38">
        <w:rPr>
          <w:b/>
          <w:sz w:val="28"/>
          <w:szCs w:val="28"/>
        </w:rPr>
        <w:t xml:space="preserve">Leseveiledning </w:t>
      </w:r>
      <w:r w:rsidR="00F927E6">
        <w:rPr>
          <w:b/>
          <w:sz w:val="28"/>
          <w:szCs w:val="28"/>
        </w:rPr>
        <w:t>fra forelesning 24.09 og 01.10: P</w:t>
      </w:r>
      <w:r w:rsidR="003F6A38">
        <w:rPr>
          <w:b/>
          <w:sz w:val="28"/>
          <w:szCs w:val="28"/>
        </w:rPr>
        <w:t xml:space="preserve">rodusent- og konsumenttilpasningen. </w:t>
      </w:r>
    </w:p>
    <w:p w:rsidR="00F85088" w:rsidRDefault="00F85088" w:rsidP="00F85088">
      <w:pPr>
        <w:pStyle w:val="Default"/>
      </w:pPr>
      <w:r>
        <w:t xml:space="preserve"> </w:t>
      </w:r>
    </w:p>
    <w:p w:rsidR="003F6A38" w:rsidRDefault="003F6A38" w:rsidP="00F85088">
      <w:pPr>
        <w:pStyle w:val="Default"/>
        <w:spacing w:after="70"/>
        <w:rPr>
          <w:sz w:val="22"/>
          <w:szCs w:val="22"/>
        </w:rPr>
      </w:pPr>
    </w:p>
    <w:p w:rsidR="003F6A38" w:rsidRDefault="003F6A38" w:rsidP="00F85088">
      <w:pPr>
        <w:pStyle w:val="Default"/>
        <w:spacing w:after="70"/>
        <w:rPr>
          <w:sz w:val="22"/>
          <w:szCs w:val="22"/>
        </w:rPr>
      </w:pPr>
    </w:p>
    <w:p w:rsidR="00F85088" w:rsidRPr="003F6A38" w:rsidRDefault="00F85088" w:rsidP="00F85088">
      <w:pPr>
        <w:pStyle w:val="Default"/>
        <w:spacing w:after="70"/>
        <w:rPr>
          <w:b/>
          <w:sz w:val="22"/>
          <w:szCs w:val="22"/>
        </w:rPr>
      </w:pPr>
      <w:r w:rsidRPr="003F6A38">
        <w:rPr>
          <w:b/>
          <w:sz w:val="22"/>
          <w:szCs w:val="22"/>
        </w:rPr>
        <w:t>2 spørsmål om produsentens tilpasning</w:t>
      </w:r>
      <w:r w:rsidR="003F6A38" w:rsidRPr="003F6A38">
        <w:rPr>
          <w:b/>
          <w:sz w:val="22"/>
          <w:szCs w:val="22"/>
        </w:rPr>
        <w:t xml:space="preserve"> som vi gjennomgår 15.09:</w:t>
      </w:r>
    </w:p>
    <w:p w:rsidR="00F85088" w:rsidRDefault="00F85088" w:rsidP="00F85088">
      <w:pPr>
        <w:pStyle w:val="Default"/>
        <w:numPr>
          <w:ilvl w:val="0"/>
          <w:numId w:val="1"/>
        </w:numPr>
        <w:spacing w:after="70"/>
        <w:rPr>
          <w:sz w:val="22"/>
          <w:szCs w:val="22"/>
        </w:rPr>
      </w:pPr>
      <w:r>
        <w:rPr>
          <w:sz w:val="22"/>
          <w:szCs w:val="22"/>
        </w:rPr>
        <w:t xml:space="preserve">Hva skjer med bedriftens valg av sysselsetting dersom  overskuddet beskattes slik at bedriften må betale en andel  </w:t>
      </w:r>
      <w:r w:rsidRPr="00F85088">
        <w:rPr>
          <w:i/>
          <w:sz w:val="22"/>
          <w:szCs w:val="22"/>
        </w:rPr>
        <w:t>t</w:t>
      </w:r>
      <w:r>
        <w:rPr>
          <w:sz w:val="22"/>
          <w:szCs w:val="22"/>
        </w:rPr>
        <w:t xml:space="preserve"> i skatt ?</w:t>
      </w:r>
    </w:p>
    <w:p w:rsidR="00F85088" w:rsidRDefault="00F85088" w:rsidP="00F85088">
      <w:pPr>
        <w:pStyle w:val="Default"/>
        <w:numPr>
          <w:ilvl w:val="0"/>
          <w:numId w:val="1"/>
        </w:numPr>
        <w:rPr>
          <w:sz w:val="22"/>
          <w:szCs w:val="22"/>
        </w:rPr>
      </w:pPr>
      <w:r>
        <w:rPr>
          <w:sz w:val="22"/>
          <w:szCs w:val="22"/>
        </w:rPr>
        <w:t>Hva er effektene av bonuslønn på bedriftenes sysselsettingspolitikk? Anta at bedriften istedenfor en fast lønn skal betale en andel av bedriftens inntekter til de ansatte. De ansatte krever at skal være høy nok til at hver av dem får samme utbetaling som ved fastlønn dersom sysselsettingen holdes uendret. Hva skjer? (vanskelig, men prøv!)</w:t>
      </w:r>
    </w:p>
    <w:p w:rsidR="00F85088" w:rsidRDefault="00F85088" w:rsidP="00F85088">
      <w:pPr>
        <w:pStyle w:val="Default"/>
        <w:rPr>
          <w:sz w:val="22"/>
          <w:szCs w:val="22"/>
        </w:rPr>
      </w:pPr>
    </w:p>
    <w:p w:rsidR="008215D7" w:rsidRDefault="008215D7" w:rsidP="00F85088">
      <w:pPr>
        <w:pStyle w:val="Default"/>
        <w:rPr>
          <w:sz w:val="22"/>
          <w:szCs w:val="22"/>
        </w:rPr>
      </w:pPr>
    </w:p>
    <w:p w:rsidR="008215D7" w:rsidRDefault="008215D7" w:rsidP="00F85088">
      <w:pPr>
        <w:pStyle w:val="Default"/>
        <w:rPr>
          <w:sz w:val="22"/>
          <w:szCs w:val="22"/>
        </w:rPr>
      </w:pPr>
    </w:p>
    <w:p w:rsidR="00317BEF" w:rsidRPr="003F6A38" w:rsidRDefault="00317BEF" w:rsidP="00317BEF">
      <w:pPr>
        <w:pStyle w:val="Default"/>
        <w:rPr>
          <w:b/>
        </w:rPr>
      </w:pPr>
      <w:r w:rsidRPr="003F6A38">
        <w:rPr>
          <w:b/>
        </w:rPr>
        <w:t>Noen kommentarer til lærebokas gjenno</w:t>
      </w:r>
      <w:r w:rsidR="003F6A38" w:rsidRPr="003F6A38">
        <w:rPr>
          <w:b/>
        </w:rPr>
        <w:t>mgang av produsent</w:t>
      </w:r>
      <w:r w:rsidRPr="003F6A38">
        <w:rPr>
          <w:b/>
        </w:rPr>
        <w:t xml:space="preserve">tilpasningen: </w:t>
      </w:r>
    </w:p>
    <w:p w:rsidR="00317BEF" w:rsidRDefault="00317BEF" w:rsidP="00317BEF">
      <w:pPr>
        <w:pStyle w:val="Default"/>
        <w:rPr>
          <w:b/>
          <w:bCs/>
          <w:sz w:val="22"/>
          <w:szCs w:val="22"/>
        </w:rPr>
      </w:pPr>
    </w:p>
    <w:p w:rsidR="00317BEF" w:rsidRDefault="00317BEF" w:rsidP="00317BEF">
      <w:pPr>
        <w:pStyle w:val="Default"/>
        <w:rPr>
          <w:sz w:val="22"/>
          <w:szCs w:val="22"/>
        </w:rPr>
      </w:pPr>
      <w:r>
        <w:rPr>
          <w:b/>
          <w:bCs/>
          <w:sz w:val="22"/>
          <w:szCs w:val="22"/>
        </w:rPr>
        <w:t>Produsentens tilpasning</w:t>
      </w:r>
      <w:r>
        <w:rPr>
          <w:sz w:val="22"/>
          <w:szCs w:val="22"/>
        </w:rPr>
        <w:t xml:space="preserve">: </w:t>
      </w:r>
    </w:p>
    <w:p w:rsidR="00317BEF" w:rsidRDefault="00317BEF" w:rsidP="00317BEF">
      <w:pPr>
        <w:pStyle w:val="Default"/>
        <w:rPr>
          <w:sz w:val="22"/>
          <w:szCs w:val="22"/>
        </w:rPr>
      </w:pPr>
      <w:r>
        <w:rPr>
          <w:sz w:val="22"/>
          <w:szCs w:val="22"/>
        </w:rPr>
        <w:t xml:space="preserve">Fremstillingen i B&amp;W er preget av at de ser på produsenttilpasningen når det er to innsatsfaktorer – og så ser de på èn faktor som et spesieltilfelle inimellom. Leseveiledningen til 17.09 viser hva du trenger å lese fra B&amp;W. I tillegg bør du se på forelesningsnotater og notater som er lagt ut på kursets hjemmeside. </w:t>
      </w:r>
    </w:p>
    <w:p w:rsidR="00317BEF" w:rsidRDefault="00317BEF" w:rsidP="00317BEF">
      <w:pPr>
        <w:pStyle w:val="Default"/>
        <w:rPr>
          <w:sz w:val="22"/>
          <w:szCs w:val="22"/>
        </w:rPr>
      </w:pPr>
      <w:r>
        <w:rPr>
          <w:sz w:val="22"/>
          <w:szCs w:val="22"/>
        </w:rPr>
        <w:t>Merk at B&amp;W bruker marginalinntektskurven (marginal product of labor, MPL)til å se på en produsents valg av arbeidskraft på en annen måte en vi har gjort på forelesningene: Se ”Using the marginal product of labor to make production decisions” s.223-224. B&amp;W ser her på hvordan en produsent fordeler en gitt mengde arbeiskraft mellom to ulike anlegg (plants). På forelesning har jeg vist hvordan en produsent bruker MPL til å bestemme optimal bruk av arbeidskraft , dvs den som gir størst mulig overskudd. Dette står ikke vi</w:t>
      </w:r>
      <w:r w:rsidR="003F6A38">
        <w:rPr>
          <w:sz w:val="22"/>
          <w:szCs w:val="22"/>
        </w:rPr>
        <w:t>st direkte i læreboka, men er</w:t>
      </w:r>
      <w:r>
        <w:rPr>
          <w:sz w:val="22"/>
          <w:szCs w:val="22"/>
        </w:rPr>
        <w:t xml:space="preserve"> lagt ut som eget notat på kursets hjemmeside (”etterspørsel etter arbeidskraft”). </w:t>
      </w:r>
    </w:p>
    <w:p w:rsidR="00317BEF" w:rsidRDefault="00317BEF" w:rsidP="00317BEF">
      <w:pPr>
        <w:pStyle w:val="Default"/>
        <w:rPr>
          <w:sz w:val="22"/>
          <w:szCs w:val="22"/>
        </w:rPr>
      </w:pPr>
      <w:r>
        <w:rPr>
          <w:sz w:val="22"/>
          <w:szCs w:val="22"/>
        </w:rPr>
        <w:t xml:space="preserve">Nederst på side 277 ser B&amp;W på sammenhengen mellom kostnader og produktivitet, men viser ikke kurvene sammen slik jeg har gjort på forelesningen. Sammenhengene finner du i notatet ”sammenhenger mellom produktivitet og kostnader” som nå er lagt ut på kursets hjemmeside. </w:t>
      </w:r>
    </w:p>
    <w:p w:rsidR="003F6A38" w:rsidRDefault="003F6A38" w:rsidP="00317BEF">
      <w:pPr>
        <w:pStyle w:val="Default"/>
        <w:rPr>
          <w:b/>
          <w:bCs/>
          <w:sz w:val="22"/>
          <w:szCs w:val="22"/>
        </w:rPr>
      </w:pPr>
    </w:p>
    <w:p w:rsidR="003F6A38" w:rsidRDefault="003F6A38" w:rsidP="00317BEF">
      <w:pPr>
        <w:pStyle w:val="Default"/>
        <w:rPr>
          <w:b/>
          <w:bCs/>
          <w:sz w:val="22"/>
          <w:szCs w:val="22"/>
        </w:rPr>
      </w:pPr>
    </w:p>
    <w:p w:rsidR="003F6A38" w:rsidRDefault="003F6A38" w:rsidP="003F6A38">
      <w:pPr>
        <w:autoSpaceDE w:val="0"/>
        <w:autoSpaceDN w:val="0"/>
        <w:adjustRightInd w:val="0"/>
        <w:spacing w:after="0" w:line="240" w:lineRule="auto"/>
        <w:rPr>
          <w:rFonts w:ascii="Calibri,Bold" w:hAnsi="Calibri,Bold" w:cs="Calibri,Bold"/>
          <w:b/>
          <w:bCs/>
        </w:rPr>
      </w:pPr>
      <w:r>
        <w:rPr>
          <w:rFonts w:ascii="Calibri,Bold" w:hAnsi="Calibri,Bold" w:cs="Calibri,Bold"/>
          <w:b/>
          <w:bCs/>
        </w:rPr>
        <w:t>Konsumenttilpasningen</w:t>
      </w:r>
    </w:p>
    <w:p w:rsidR="003F6A38" w:rsidRDefault="003F6A38" w:rsidP="003F6A38">
      <w:pPr>
        <w:autoSpaceDE w:val="0"/>
        <w:autoSpaceDN w:val="0"/>
        <w:adjustRightInd w:val="0"/>
        <w:spacing w:after="0" w:line="240" w:lineRule="auto"/>
        <w:rPr>
          <w:rFonts w:ascii="Calibri" w:hAnsi="Calibri" w:cs="Calibri"/>
        </w:rPr>
      </w:pPr>
    </w:p>
    <w:p w:rsidR="003F6A38" w:rsidRDefault="003F6A38" w:rsidP="003F6A38">
      <w:pPr>
        <w:autoSpaceDE w:val="0"/>
        <w:autoSpaceDN w:val="0"/>
        <w:adjustRightInd w:val="0"/>
        <w:spacing w:after="0" w:line="240" w:lineRule="auto"/>
        <w:rPr>
          <w:rFonts w:ascii="Calibri" w:hAnsi="Calibri" w:cs="Calibri"/>
        </w:rPr>
      </w:pPr>
      <w:r>
        <w:rPr>
          <w:rFonts w:ascii="Calibri" w:hAnsi="Calibri" w:cs="Calibri"/>
        </w:rPr>
        <w:t xml:space="preserve"> B&amp;W kap. 4,5 + 6.1 og 6.2.</w:t>
      </w:r>
    </w:p>
    <w:p w:rsidR="003F6A38" w:rsidRDefault="003F6A38" w:rsidP="003F6A38">
      <w:pPr>
        <w:autoSpaceDE w:val="0"/>
        <w:autoSpaceDN w:val="0"/>
        <w:adjustRightInd w:val="0"/>
        <w:spacing w:after="0" w:line="240" w:lineRule="auto"/>
        <w:rPr>
          <w:rFonts w:ascii="Calibri" w:hAnsi="Calibri" w:cs="Calibri"/>
        </w:rPr>
      </w:pPr>
    </w:p>
    <w:p w:rsidR="003F6A38" w:rsidRDefault="003F6A38" w:rsidP="003F6A38">
      <w:pPr>
        <w:autoSpaceDE w:val="0"/>
        <w:autoSpaceDN w:val="0"/>
        <w:adjustRightInd w:val="0"/>
        <w:spacing w:after="0" w:line="240" w:lineRule="auto"/>
        <w:rPr>
          <w:rFonts w:ascii="Calibri" w:hAnsi="Calibri" w:cs="Calibri"/>
        </w:rPr>
      </w:pPr>
      <w:r>
        <w:rPr>
          <w:rFonts w:ascii="Calibri" w:hAnsi="Calibri" w:cs="Calibri"/>
        </w:rPr>
        <w:t>Hva du skal lære:</w:t>
      </w:r>
    </w:p>
    <w:p w:rsidR="003F6A38" w:rsidRDefault="003F6A38" w:rsidP="003F6A38">
      <w:pPr>
        <w:autoSpaceDE w:val="0"/>
        <w:autoSpaceDN w:val="0"/>
        <w:adjustRightInd w:val="0"/>
        <w:spacing w:after="0" w:line="240" w:lineRule="auto"/>
        <w:rPr>
          <w:rFonts w:ascii="Calibri" w:hAnsi="Calibri" w:cs="Calibri"/>
        </w:rPr>
      </w:pPr>
      <w:r>
        <w:rPr>
          <w:rFonts w:ascii="Calibri" w:hAnsi="Calibri" w:cs="Calibri"/>
        </w:rPr>
        <w:t xml:space="preserve">1. Sette opp budsjettbetingelse for to goder og gitt inntekt (y) og tegne inn budsjettlinja (BL) i et </w:t>
      </w:r>
      <w:r w:rsidRPr="008215D7">
        <w:rPr>
          <w:rFonts w:ascii="Times New Roman" w:hAnsi="Times New Roman" w:cs="Times New Roman"/>
          <w:position w:val="-12"/>
          <w:sz w:val="14"/>
          <w:szCs w:val="14"/>
        </w:rPr>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5" o:title=""/>
          </v:shape>
          <o:OLEObject Type="Embed" ProgID="Equation.DSMT4" ShapeID="_x0000_i1025" DrawAspect="Content" ObjectID="_1347985604" r:id="rId6"/>
        </w:object>
      </w:r>
      <w:r>
        <w:rPr>
          <w:rFonts w:ascii="Times New Roman" w:hAnsi="Times New Roman" w:cs="Times New Roman"/>
          <w:i/>
          <w:iCs/>
          <w:sz w:val="24"/>
          <w:szCs w:val="24"/>
        </w:rPr>
        <w:t xml:space="preserve"> </w:t>
      </w:r>
      <w:r>
        <w:rPr>
          <w:rFonts w:ascii="Calibri" w:hAnsi="Calibri" w:cs="Calibri"/>
        </w:rPr>
        <w:t>-diagram. Forklare helningen på BL: (</w:t>
      </w:r>
      <w:r w:rsidRPr="008215D7">
        <w:rPr>
          <w:rFonts w:ascii="Calibri" w:hAnsi="Calibri" w:cs="Calibri"/>
          <w:position w:val="-12"/>
        </w:rPr>
        <w:object w:dxaOrig="680" w:dyaOrig="360">
          <v:shape id="_x0000_i1026" type="#_x0000_t75" style="width:33.75pt;height:18pt" o:ole="">
            <v:imagedata r:id="rId7" o:title=""/>
          </v:shape>
          <o:OLEObject Type="Embed" ProgID="Equation.DSMT4" ShapeID="_x0000_i1026" DrawAspect="Content" ObjectID="_1347985605" r:id="rId8"/>
        </w:object>
      </w:r>
      <w:r>
        <w:rPr>
          <w:rFonts w:ascii="Calibri" w:hAnsi="Calibri" w:cs="Calibri"/>
        </w:rPr>
        <w:t>= pris på gode 1 målt i enheter av gode 2)</w:t>
      </w:r>
    </w:p>
    <w:p w:rsidR="003F6A38" w:rsidRDefault="003F6A38" w:rsidP="003F6A38">
      <w:pPr>
        <w:autoSpaceDE w:val="0"/>
        <w:autoSpaceDN w:val="0"/>
        <w:adjustRightInd w:val="0"/>
        <w:spacing w:after="0" w:line="240" w:lineRule="auto"/>
        <w:rPr>
          <w:rFonts w:ascii="Calibri" w:hAnsi="Calibri" w:cs="Calibri"/>
        </w:rPr>
      </w:pPr>
      <w:r>
        <w:rPr>
          <w:rFonts w:ascii="Calibri" w:hAnsi="Calibri" w:cs="Calibri"/>
        </w:rPr>
        <w:t>2. Vise og forklare hva som skjer med BL ved endringer i priser eller inntekt.</w:t>
      </w:r>
    </w:p>
    <w:p w:rsidR="003F6A38" w:rsidRDefault="003F6A38" w:rsidP="003F6A38">
      <w:pPr>
        <w:autoSpaceDE w:val="0"/>
        <w:autoSpaceDN w:val="0"/>
        <w:adjustRightInd w:val="0"/>
        <w:spacing w:after="0" w:line="240" w:lineRule="auto"/>
        <w:rPr>
          <w:rFonts w:ascii="Calibri" w:hAnsi="Calibri" w:cs="Calibri"/>
        </w:rPr>
      </w:pPr>
      <w:r>
        <w:rPr>
          <w:rFonts w:ascii="Calibri" w:hAnsi="Calibri" w:cs="Calibri"/>
        </w:rPr>
        <w:t xml:space="preserve">3. Forklare hva en indifferenskurve er og tegne den i et </w:t>
      </w:r>
      <w:r w:rsidRPr="008215D7">
        <w:rPr>
          <w:rFonts w:ascii="Times New Roman" w:hAnsi="Times New Roman" w:cs="Times New Roman"/>
          <w:position w:val="-12"/>
          <w:sz w:val="14"/>
          <w:szCs w:val="14"/>
        </w:rPr>
        <w:object w:dxaOrig="540" w:dyaOrig="360">
          <v:shape id="_x0000_i1027" type="#_x0000_t75" style="width:27pt;height:18pt" o:ole="">
            <v:imagedata r:id="rId5" o:title=""/>
          </v:shape>
          <o:OLEObject Type="Embed" ProgID="Equation.DSMT4" ShapeID="_x0000_i1027" DrawAspect="Content" ObjectID="_1347985606" r:id="rId9"/>
        </w:object>
      </w:r>
      <w:r>
        <w:rPr>
          <w:rFonts w:ascii="Times New Roman" w:hAnsi="Times New Roman" w:cs="Times New Roman"/>
          <w:i/>
          <w:iCs/>
          <w:sz w:val="24"/>
          <w:szCs w:val="24"/>
        </w:rPr>
        <w:t xml:space="preserve"> </w:t>
      </w:r>
      <w:r>
        <w:rPr>
          <w:rFonts w:ascii="Calibri" w:hAnsi="Calibri" w:cs="Calibri"/>
        </w:rPr>
        <w:t>-diagram. Forklare helning og</w:t>
      </w:r>
    </w:p>
    <w:p w:rsidR="003F6A38" w:rsidRDefault="003F6A38" w:rsidP="003F6A38">
      <w:pPr>
        <w:autoSpaceDE w:val="0"/>
        <w:autoSpaceDN w:val="0"/>
        <w:adjustRightInd w:val="0"/>
        <w:spacing w:after="0" w:line="240" w:lineRule="auto"/>
        <w:rPr>
          <w:rFonts w:ascii="Calibri" w:hAnsi="Calibri" w:cs="Calibri"/>
        </w:rPr>
      </w:pPr>
      <w:r>
        <w:rPr>
          <w:rFonts w:ascii="Calibri" w:hAnsi="Calibri" w:cs="Calibri"/>
        </w:rPr>
        <w:t>krumning på kurven .</w:t>
      </w:r>
    </w:p>
    <w:p w:rsidR="003F6A38" w:rsidRDefault="003F6A38" w:rsidP="003F6A38">
      <w:pPr>
        <w:autoSpaceDE w:val="0"/>
        <w:autoSpaceDN w:val="0"/>
        <w:adjustRightInd w:val="0"/>
        <w:spacing w:after="0" w:line="240" w:lineRule="auto"/>
        <w:rPr>
          <w:rFonts w:ascii="Calibri" w:hAnsi="Calibri" w:cs="Calibri"/>
        </w:rPr>
      </w:pPr>
      <w:r>
        <w:rPr>
          <w:rFonts w:ascii="Calibri" w:hAnsi="Calibri" w:cs="Calibri"/>
        </w:rPr>
        <w:t>4. Tegne og forklare hva som blir konsumentenes optimale tilpasning (hvor mye konsumenten</w:t>
      </w:r>
    </w:p>
    <w:p w:rsidR="003F6A38" w:rsidRDefault="003F6A38" w:rsidP="003F6A38">
      <w:pPr>
        <w:autoSpaceDE w:val="0"/>
        <w:autoSpaceDN w:val="0"/>
        <w:adjustRightInd w:val="0"/>
        <w:spacing w:after="0" w:line="240" w:lineRule="auto"/>
        <w:rPr>
          <w:rFonts w:ascii="Calibri" w:hAnsi="Calibri" w:cs="Calibri"/>
        </w:rPr>
      </w:pPr>
      <w:r>
        <w:rPr>
          <w:rFonts w:ascii="Calibri" w:hAnsi="Calibri" w:cs="Calibri"/>
        </w:rPr>
        <w:t>ønsker å kjøpe av de to godene)</w:t>
      </w:r>
    </w:p>
    <w:p w:rsidR="003F6A38" w:rsidRDefault="003F6A38" w:rsidP="003F6A38">
      <w:pPr>
        <w:autoSpaceDE w:val="0"/>
        <w:autoSpaceDN w:val="0"/>
        <w:adjustRightInd w:val="0"/>
        <w:spacing w:after="0" w:line="240" w:lineRule="auto"/>
        <w:rPr>
          <w:rFonts w:ascii="Calibri" w:hAnsi="Calibri" w:cs="Calibri"/>
        </w:rPr>
      </w:pPr>
      <w:r>
        <w:rPr>
          <w:rFonts w:ascii="Calibri" w:hAnsi="Calibri" w:cs="Calibri"/>
        </w:rPr>
        <w:t>5. Vise og forklare hva som skjer med den optimale tilpasning når (a) inntekten øker og når (b)</w:t>
      </w:r>
    </w:p>
    <w:p w:rsidR="003F6A38" w:rsidRDefault="003F6A38" w:rsidP="003F6A38">
      <w:pPr>
        <w:autoSpaceDE w:val="0"/>
        <w:autoSpaceDN w:val="0"/>
        <w:adjustRightInd w:val="0"/>
        <w:spacing w:after="0" w:line="240" w:lineRule="auto"/>
        <w:rPr>
          <w:rFonts w:ascii="Calibri" w:hAnsi="Calibri" w:cs="Calibri"/>
        </w:rPr>
      </w:pPr>
      <w:r>
        <w:rPr>
          <w:rFonts w:ascii="Calibri" w:hAnsi="Calibri" w:cs="Calibri"/>
        </w:rPr>
        <w:t>prisen på et gode stiger. Spesielt: Kunne forklare substitusjons- og inntektseffekten.</w:t>
      </w:r>
    </w:p>
    <w:p w:rsidR="003F6A38" w:rsidRDefault="003F6A38" w:rsidP="003F6A38">
      <w:pPr>
        <w:autoSpaceDE w:val="0"/>
        <w:autoSpaceDN w:val="0"/>
        <w:adjustRightInd w:val="0"/>
        <w:spacing w:after="0" w:line="240" w:lineRule="auto"/>
        <w:rPr>
          <w:rFonts w:ascii="Calibri" w:hAnsi="Calibri" w:cs="Calibri"/>
        </w:rPr>
      </w:pPr>
    </w:p>
    <w:p w:rsidR="003F6A38" w:rsidRDefault="003F6A38">
      <w:pPr>
        <w:rPr>
          <w:rFonts w:ascii="Calibri" w:hAnsi="Calibri" w:cs="Calibri"/>
        </w:rPr>
      </w:pPr>
      <w:r>
        <w:rPr>
          <w:rFonts w:ascii="Calibri" w:hAnsi="Calibri" w:cs="Calibri"/>
        </w:rPr>
        <w:br w:type="page"/>
      </w:r>
    </w:p>
    <w:p w:rsidR="003F6A38" w:rsidRDefault="003F6A38" w:rsidP="003F6A38">
      <w:pPr>
        <w:autoSpaceDE w:val="0"/>
        <w:autoSpaceDN w:val="0"/>
        <w:adjustRightInd w:val="0"/>
        <w:spacing w:after="0" w:line="240" w:lineRule="auto"/>
        <w:rPr>
          <w:rFonts w:ascii="Calibri" w:hAnsi="Calibri" w:cs="Calibri"/>
        </w:rPr>
      </w:pPr>
      <w:r>
        <w:rPr>
          <w:rFonts w:ascii="Calibri" w:hAnsi="Calibri" w:cs="Calibri"/>
        </w:rPr>
        <w:lastRenderedPageBreak/>
        <w:t>Noen problemstillinger vi senere kan diskutere ved hjelp av det vi lærer:</w:t>
      </w:r>
    </w:p>
    <w:p w:rsidR="003F6A38" w:rsidRDefault="003F6A38" w:rsidP="003F6A38">
      <w:pPr>
        <w:autoSpaceDE w:val="0"/>
        <w:autoSpaceDN w:val="0"/>
        <w:adjustRightInd w:val="0"/>
        <w:spacing w:after="0" w:line="240" w:lineRule="auto"/>
        <w:rPr>
          <w:rFonts w:ascii="Calibri" w:hAnsi="Calibri" w:cs="Calibri"/>
        </w:rPr>
      </w:pPr>
      <w:r>
        <w:rPr>
          <w:rFonts w:ascii="Calibri" w:hAnsi="Calibri" w:cs="Calibri"/>
        </w:rPr>
        <w:t>Hvorfor er det ikke sikkert at skattelette gir økt arbeidstilbud?</w:t>
      </w:r>
    </w:p>
    <w:p w:rsidR="003F6A38" w:rsidRDefault="003F6A38" w:rsidP="003F6A38">
      <w:pPr>
        <w:autoSpaceDE w:val="0"/>
        <w:autoSpaceDN w:val="0"/>
        <w:adjustRightInd w:val="0"/>
        <w:spacing w:after="0" w:line="240" w:lineRule="auto"/>
        <w:rPr>
          <w:rFonts w:ascii="Calibri" w:hAnsi="Calibri" w:cs="Calibri"/>
        </w:rPr>
      </w:pPr>
      <w:r>
        <w:rPr>
          <w:rFonts w:ascii="Calibri" w:hAnsi="Calibri" w:cs="Calibri"/>
        </w:rPr>
        <w:t>Kan renteøkning gi mindre sparing?</w:t>
      </w:r>
    </w:p>
    <w:p w:rsidR="003F6A38" w:rsidRDefault="003F6A38" w:rsidP="003F6A38">
      <w:pPr>
        <w:autoSpaceDE w:val="0"/>
        <w:autoSpaceDN w:val="0"/>
        <w:adjustRightInd w:val="0"/>
        <w:spacing w:after="0" w:line="240" w:lineRule="auto"/>
        <w:rPr>
          <w:rFonts w:ascii="Calibri" w:hAnsi="Calibri" w:cs="Calibri"/>
        </w:rPr>
      </w:pPr>
      <w:r>
        <w:rPr>
          <w:rFonts w:ascii="Calibri" w:hAnsi="Calibri" w:cs="Calibri"/>
        </w:rPr>
        <w:t>Virker tvungen pensjonssparing?</w:t>
      </w:r>
    </w:p>
    <w:p w:rsidR="003F6A38" w:rsidRDefault="003F6A38" w:rsidP="003F6A38">
      <w:pPr>
        <w:autoSpaceDE w:val="0"/>
        <w:autoSpaceDN w:val="0"/>
        <w:adjustRightInd w:val="0"/>
        <w:spacing w:after="0" w:line="240" w:lineRule="auto"/>
        <w:rPr>
          <w:rFonts w:ascii="Calibri" w:hAnsi="Calibri" w:cs="Calibri"/>
        </w:rPr>
      </w:pPr>
      <w:r>
        <w:rPr>
          <w:rFonts w:ascii="Calibri" w:hAnsi="Calibri" w:cs="Calibri"/>
        </w:rPr>
        <w:t>Hva er riktig kompensasjon ?(lønnskompensasjon, priskompensasjon )</w:t>
      </w:r>
    </w:p>
    <w:p w:rsidR="003F6A38" w:rsidRDefault="003F6A38" w:rsidP="00317BEF">
      <w:pPr>
        <w:pStyle w:val="Default"/>
        <w:rPr>
          <w:b/>
          <w:bCs/>
          <w:sz w:val="22"/>
          <w:szCs w:val="22"/>
        </w:rPr>
      </w:pPr>
    </w:p>
    <w:p w:rsidR="00317BEF" w:rsidRDefault="003F6A38" w:rsidP="00317BEF">
      <w:pPr>
        <w:pStyle w:val="Default"/>
        <w:rPr>
          <w:sz w:val="22"/>
          <w:szCs w:val="22"/>
        </w:rPr>
      </w:pPr>
      <w:r>
        <w:rPr>
          <w:b/>
          <w:bCs/>
          <w:sz w:val="22"/>
          <w:szCs w:val="22"/>
        </w:rPr>
        <w:t>Noen kommentarer til lærebokas fremstilling av k</w:t>
      </w:r>
      <w:r w:rsidR="00317BEF">
        <w:rPr>
          <w:b/>
          <w:bCs/>
          <w:sz w:val="22"/>
          <w:szCs w:val="22"/>
        </w:rPr>
        <w:t xml:space="preserve">onsumentens tilpasning: </w:t>
      </w:r>
    </w:p>
    <w:p w:rsidR="00317BEF" w:rsidRDefault="00317BEF" w:rsidP="00317BEF">
      <w:pPr>
        <w:pStyle w:val="Default"/>
        <w:rPr>
          <w:sz w:val="22"/>
          <w:szCs w:val="22"/>
        </w:rPr>
      </w:pPr>
    </w:p>
    <w:p w:rsidR="00317BEF" w:rsidRDefault="00317BEF" w:rsidP="00317BEF">
      <w:pPr>
        <w:pStyle w:val="Default"/>
        <w:rPr>
          <w:sz w:val="22"/>
          <w:szCs w:val="22"/>
        </w:rPr>
      </w:pPr>
      <w:r>
        <w:rPr>
          <w:sz w:val="22"/>
          <w:szCs w:val="22"/>
        </w:rPr>
        <w:t xml:space="preserve">Kapittel 4: </w:t>
      </w:r>
    </w:p>
    <w:p w:rsidR="00317BEF" w:rsidRDefault="00317BEF" w:rsidP="00317BEF">
      <w:pPr>
        <w:pStyle w:val="Default"/>
        <w:rPr>
          <w:sz w:val="22"/>
          <w:szCs w:val="22"/>
        </w:rPr>
      </w:pPr>
      <w:r>
        <w:rPr>
          <w:sz w:val="22"/>
          <w:szCs w:val="22"/>
        </w:rPr>
        <w:t xml:space="preserve">4.1-4.2 forklarer indifferenskurver grundig, og er derfor sentralt. ”Goods vs bads” s.104-106 er unødvendig for våre formål – kan droppes. </w:t>
      </w:r>
    </w:p>
    <w:p w:rsidR="00317BEF" w:rsidRDefault="00317BEF" w:rsidP="00317BEF">
      <w:pPr>
        <w:pStyle w:val="Default"/>
        <w:rPr>
          <w:sz w:val="22"/>
          <w:szCs w:val="22"/>
        </w:rPr>
      </w:pPr>
      <w:r w:rsidRPr="00317BEF">
        <w:rPr>
          <w:sz w:val="22"/>
          <w:szCs w:val="22"/>
          <w:lang w:val="en-US"/>
        </w:rPr>
        <w:t xml:space="preserve">4.3 Substitution between goods: Viktig å forstå Marginal Rate of Substitution (MRS). </w:t>
      </w:r>
      <w:r>
        <w:rPr>
          <w:sz w:val="22"/>
          <w:szCs w:val="22"/>
        </w:rPr>
        <w:t xml:space="preserve">“Special cases” s. 112-114 skal vi ikke bruke, men er greit å lese gjennom for forståelsens skyld. </w:t>
      </w:r>
    </w:p>
    <w:p w:rsidR="00317BEF" w:rsidRDefault="00317BEF" w:rsidP="00317BEF">
      <w:pPr>
        <w:pStyle w:val="Default"/>
        <w:rPr>
          <w:sz w:val="22"/>
          <w:szCs w:val="22"/>
        </w:rPr>
      </w:pPr>
      <w:r>
        <w:rPr>
          <w:sz w:val="22"/>
          <w:szCs w:val="22"/>
        </w:rPr>
        <w:t xml:space="preserve">4.3 Vi skal ikke bruke nyttefunksjoner direkte, men greit å forstå hva det betyr at vi bruker såkalt ordinal nytte, og fortså sammenhengen mellom nyttefunksjonen og Marginal Rate of Substitution. </w:t>
      </w:r>
    </w:p>
    <w:p w:rsidR="00317BEF" w:rsidRDefault="00317BEF" w:rsidP="00317BEF">
      <w:pPr>
        <w:pStyle w:val="Default"/>
        <w:rPr>
          <w:sz w:val="22"/>
          <w:szCs w:val="22"/>
        </w:rPr>
      </w:pPr>
      <w:r>
        <w:rPr>
          <w:sz w:val="22"/>
          <w:szCs w:val="22"/>
        </w:rPr>
        <w:t xml:space="preserve">Kapittel 5: </w:t>
      </w:r>
    </w:p>
    <w:p w:rsidR="00317BEF" w:rsidRDefault="00317BEF" w:rsidP="00317BEF">
      <w:pPr>
        <w:pStyle w:val="Default"/>
        <w:rPr>
          <w:sz w:val="22"/>
          <w:szCs w:val="22"/>
        </w:rPr>
      </w:pPr>
      <w:r>
        <w:rPr>
          <w:sz w:val="22"/>
          <w:szCs w:val="22"/>
        </w:rPr>
        <w:t xml:space="preserve">5.1 Om budsjettbetingelsen – les! </w:t>
      </w:r>
    </w:p>
    <w:p w:rsidR="008215D7" w:rsidRDefault="00317BEF" w:rsidP="00317BEF">
      <w:r>
        <w:t>5.2 og ut kapitlet: Om konsumentens valg. Les raskt gjennom, men forelesning 01.03 og seminaroppgaver gir informasjon om hva som er viktig å kunne.</w:t>
      </w:r>
    </w:p>
    <w:sectPr w:rsidR="008215D7" w:rsidSect="000A6FFB">
      <w:pgSz w:w="11906" w:h="17338"/>
      <w:pgMar w:top="1876" w:right="1097" w:bottom="1417" w:left="125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D6A4C"/>
    <w:multiLevelType w:val="hybridMultilevel"/>
    <w:tmpl w:val="CA28FA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85088"/>
    <w:rsid w:val="000467EF"/>
    <w:rsid w:val="00317BEF"/>
    <w:rsid w:val="003F6A38"/>
    <w:rsid w:val="00406A64"/>
    <w:rsid w:val="00443E8F"/>
    <w:rsid w:val="006331CA"/>
    <w:rsid w:val="00797A15"/>
    <w:rsid w:val="008215D7"/>
    <w:rsid w:val="00F85088"/>
    <w:rsid w:val="00F927E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toneo</dc:creator>
  <cp:lastModifiedBy>chrismo</cp:lastModifiedBy>
  <cp:revision>2</cp:revision>
  <dcterms:created xsi:type="dcterms:W3CDTF">2010-10-07T17:40:00Z</dcterms:created>
  <dcterms:modified xsi:type="dcterms:W3CDTF">2010-10-07T17:40:00Z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